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0C4DC278" w14:textId="77777777" w:rsidR="00514C40" w:rsidRPr="00514C40" w:rsidRDefault="00514C40" w:rsidP="00514C40">
            <w:pPr>
              <w:rPr>
                <w:rFonts w:cstheme="minorHAnsi"/>
                <w:sz w:val="20"/>
                <w:szCs w:val="20"/>
              </w:rPr>
            </w:pPr>
            <w:bookmarkStart w:id="1" w:name="_Hlk518035310"/>
            <w:r w:rsidRPr="00514C40">
              <w:rPr>
                <w:rFonts w:cstheme="minorHAnsi"/>
                <w:sz w:val="20"/>
                <w:szCs w:val="20"/>
              </w:rPr>
              <w:t>Blocked Roadway/Traffic Control</w:t>
            </w:r>
          </w:p>
          <w:p w14:paraId="1E2A2C12" w14:textId="77777777" w:rsidR="00514C40" w:rsidRPr="00514C40" w:rsidRDefault="00514C40" w:rsidP="00514C40">
            <w:pPr>
              <w:rPr>
                <w:rFonts w:cstheme="minorHAnsi"/>
                <w:sz w:val="20"/>
                <w:szCs w:val="20"/>
              </w:rPr>
            </w:pPr>
          </w:p>
          <w:p w14:paraId="74796F0B" w14:textId="52E96409" w:rsidR="008E4D08" w:rsidRPr="0064048A" w:rsidRDefault="00514C40" w:rsidP="00514C40">
            <w:pPr>
              <w:rPr>
                <w:rFonts w:cstheme="minorHAnsi"/>
                <w:sz w:val="20"/>
                <w:szCs w:val="20"/>
              </w:rPr>
            </w:pPr>
            <w:r w:rsidRPr="00514C40">
              <w:rPr>
                <w:rFonts w:cstheme="minorHAnsi"/>
                <w:sz w:val="20"/>
                <w:szCs w:val="20"/>
              </w:rPr>
              <w:t>23 CFR Part 655</w:t>
            </w:r>
          </w:p>
        </w:tc>
        <w:tc>
          <w:tcPr>
            <w:tcW w:w="6390" w:type="dxa"/>
          </w:tcPr>
          <w:p w14:paraId="71A5DC0C" w14:textId="7B851ECE" w:rsidR="008E4D08" w:rsidRPr="004C20B1" w:rsidRDefault="00514C40" w:rsidP="004C20B1">
            <w:pPr>
              <w:rPr>
                <w:rFonts w:cstheme="minorHAnsi"/>
                <w:sz w:val="20"/>
                <w:szCs w:val="20"/>
              </w:rPr>
            </w:pPr>
            <w:r w:rsidRPr="00514C40">
              <w:rPr>
                <w:rFonts w:cstheme="minorHAnsi"/>
                <w:sz w:val="20"/>
                <w:szCs w:val="20"/>
              </w:rPr>
              <w:t xml:space="preserve">Prior to the commencement of any on-site work, Seller shall develop a traffic flow plan to ensure emergency vehicles can access all areas of the laboratory. The Seller shall submit the plan to the ORNL Technical Project Officer for review and approval. The Seller shall comply with the requirements </w:t>
            </w:r>
            <w:proofErr w:type="gramStart"/>
            <w:r w:rsidRPr="00514C40">
              <w:rPr>
                <w:rFonts w:cstheme="minorHAnsi"/>
                <w:sz w:val="20"/>
                <w:szCs w:val="20"/>
              </w:rPr>
              <w:t xml:space="preserve">of </w:t>
            </w:r>
            <w:r>
              <w:rPr>
                <w:rFonts w:cstheme="minorHAnsi"/>
                <w:sz w:val="20"/>
                <w:szCs w:val="20"/>
              </w:rPr>
              <w:t>,</w:t>
            </w:r>
            <w:proofErr w:type="gramEnd"/>
            <w:r>
              <w:rPr>
                <w:rFonts w:cstheme="minorHAnsi"/>
                <w:sz w:val="20"/>
                <w:szCs w:val="20"/>
              </w:rPr>
              <w:t xml:space="preserve"> </w:t>
            </w:r>
            <w:r w:rsidRPr="00514C40">
              <w:rPr>
                <w:rFonts w:cstheme="minorHAnsi"/>
                <w:sz w:val="20"/>
                <w:szCs w:val="20"/>
              </w:rPr>
              <w:t>23 CFR Part 655, Traffic Control Devices on Federal-Aid and Other Streets and Highways; Standards - US DOT Manual on Uniform Traffic Control Devices (MUTCD).</w:t>
            </w:r>
          </w:p>
        </w:tc>
        <w:tc>
          <w:tcPr>
            <w:tcW w:w="6457" w:type="dxa"/>
          </w:tcPr>
          <w:p w14:paraId="13648B23" w14:textId="77777777" w:rsidR="00514C40" w:rsidRPr="00514C40" w:rsidRDefault="00514C40" w:rsidP="00514C40">
            <w:pPr>
              <w:rPr>
                <w:rFonts w:cstheme="minorHAnsi"/>
                <w:sz w:val="20"/>
                <w:szCs w:val="20"/>
              </w:rPr>
            </w:pPr>
            <w:r w:rsidRPr="00514C40">
              <w:rPr>
                <w:rFonts w:cstheme="minorHAnsi"/>
                <w:sz w:val="20"/>
                <w:szCs w:val="20"/>
              </w:rPr>
              <w:t>Workers shall ensure they use traffic cones and signs to inform site personnel of block roadways.  Workers can physically direct traffic with signs and flags but must stay have a clearance distance where drivers can see them from afar.</w:t>
            </w:r>
          </w:p>
          <w:p w14:paraId="133A8520" w14:textId="77777777" w:rsidR="00514C40" w:rsidRPr="00514C40" w:rsidRDefault="00514C40" w:rsidP="00514C40">
            <w:pPr>
              <w:rPr>
                <w:rFonts w:cstheme="minorHAnsi"/>
                <w:sz w:val="20"/>
                <w:szCs w:val="20"/>
              </w:rPr>
            </w:pPr>
          </w:p>
          <w:p w14:paraId="4711D412" w14:textId="77777777" w:rsidR="00514C40" w:rsidRPr="00514C40" w:rsidRDefault="00514C40" w:rsidP="00514C40">
            <w:pPr>
              <w:rPr>
                <w:rFonts w:cstheme="minorHAnsi"/>
                <w:sz w:val="20"/>
                <w:szCs w:val="20"/>
              </w:rPr>
            </w:pPr>
            <w:r w:rsidRPr="00514C40">
              <w:rPr>
                <w:rFonts w:cstheme="minorHAnsi"/>
                <w:sz w:val="20"/>
                <w:szCs w:val="20"/>
              </w:rPr>
              <w:t>Workers shall determine if alternate routes are needed and if delivery trucks will have availability and notify the Technical Project Officer as soon as possible.</w:t>
            </w:r>
          </w:p>
          <w:p w14:paraId="1201A044" w14:textId="77777777" w:rsidR="00514C40" w:rsidRPr="00514C40" w:rsidRDefault="00514C40" w:rsidP="00514C40">
            <w:pPr>
              <w:rPr>
                <w:rFonts w:cstheme="minorHAnsi"/>
                <w:sz w:val="20"/>
                <w:szCs w:val="20"/>
              </w:rPr>
            </w:pPr>
          </w:p>
          <w:p w14:paraId="636E0F7E" w14:textId="356F5AC5" w:rsidR="00514C40" w:rsidRPr="00514C40" w:rsidRDefault="00514C40" w:rsidP="00514C40">
            <w:pPr>
              <w:rPr>
                <w:rFonts w:cstheme="minorHAnsi"/>
                <w:sz w:val="20"/>
                <w:szCs w:val="20"/>
              </w:rPr>
            </w:pPr>
            <w:r w:rsidRPr="00514C40">
              <w:rPr>
                <w:rFonts w:cstheme="minorHAnsi"/>
                <w:sz w:val="20"/>
                <w:szCs w:val="20"/>
              </w:rPr>
              <w:t xml:space="preserve">Workers shall ensure they </w:t>
            </w:r>
            <w:r w:rsidR="00740115">
              <w:rPr>
                <w:rFonts w:cstheme="minorHAnsi"/>
                <w:sz w:val="20"/>
                <w:szCs w:val="20"/>
              </w:rPr>
              <w:t>wear high visibility</w:t>
            </w:r>
            <w:r w:rsidR="00740115" w:rsidRPr="00514C40">
              <w:rPr>
                <w:rFonts w:cstheme="minorHAnsi"/>
                <w:sz w:val="20"/>
                <w:szCs w:val="20"/>
              </w:rPr>
              <w:t xml:space="preserve"> </w:t>
            </w:r>
            <w:r w:rsidRPr="00514C40">
              <w:rPr>
                <w:rFonts w:cstheme="minorHAnsi"/>
                <w:sz w:val="20"/>
                <w:szCs w:val="20"/>
              </w:rPr>
              <w:t>safety vests and appropriate PPE for weather conditions.</w:t>
            </w:r>
          </w:p>
          <w:p w14:paraId="105536DC" w14:textId="77777777" w:rsidR="00514C40" w:rsidRPr="00514C40" w:rsidRDefault="00514C40" w:rsidP="00514C40">
            <w:pPr>
              <w:rPr>
                <w:rFonts w:cstheme="minorHAnsi"/>
                <w:sz w:val="20"/>
                <w:szCs w:val="20"/>
              </w:rPr>
            </w:pPr>
          </w:p>
          <w:p w14:paraId="3026407C" w14:textId="77777777" w:rsidR="00514C40" w:rsidRPr="00514C40" w:rsidRDefault="00514C40" w:rsidP="00514C40">
            <w:pPr>
              <w:rPr>
                <w:rFonts w:cstheme="minorHAnsi"/>
                <w:sz w:val="20"/>
                <w:szCs w:val="20"/>
              </w:rPr>
            </w:pPr>
            <w:r w:rsidRPr="00514C40">
              <w:rPr>
                <w:rFonts w:cstheme="minorHAnsi"/>
                <w:sz w:val="20"/>
                <w:szCs w:val="20"/>
              </w:rPr>
              <w:t>Workers shall contact LSS Office (865.576.4LSS) in the event of an accident.</w:t>
            </w:r>
          </w:p>
          <w:p w14:paraId="46848F1E" w14:textId="77777777" w:rsidR="00514C40" w:rsidRPr="00514C40" w:rsidRDefault="00514C40" w:rsidP="00514C40">
            <w:pPr>
              <w:rPr>
                <w:rFonts w:cstheme="minorHAnsi"/>
                <w:sz w:val="20"/>
                <w:szCs w:val="20"/>
              </w:rPr>
            </w:pPr>
          </w:p>
          <w:p w14:paraId="7533B543" w14:textId="667342F8" w:rsidR="008E4D08" w:rsidRPr="0064048A" w:rsidRDefault="00514C40" w:rsidP="00514C40">
            <w:pPr>
              <w:rPr>
                <w:rFonts w:cstheme="minorHAnsi"/>
                <w:sz w:val="20"/>
                <w:szCs w:val="20"/>
              </w:rPr>
            </w:pPr>
            <w:r w:rsidRPr="00514C40">
              <w:rPr>
                <w:rFonts w:cstheme="minorHAnsi"/>
                <w:sz w:val="20"/>
                <w:szCs w:val="20"/>
              </w:rPr>
              <w:t>Workers shall provide required documentation to the COMPANY’s Technical Project Officer (TPO) prior to starting any work on-site.</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17CAE278" w:rsidR="00F66868"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45262B8D" w14:textId="77777777" w:rsidR="00F66868" w:rsidRPr="00F66868" w:rsidRDefault="00F66868" w:rsidP="00F66868"/>
          <w:p w14:paraId="0F82A7F0" w14:textId="77777777" w:rsidR="00F66868" w:rsidRPr="00F66868" w:rsidRDefault="00F66868" w:rsidP="00F66868"/>
          <w:p w14:paraId="6F358058" w14:textId="77777777" w:rsidR="00F66868" w:rsidRPr="00F66868" w:rsidRDefault="00F66868" w:rsidP="00F66868"/>
          <w:p w14:paraId="248678C5" w14:textId="77777777" w:rsidR="00F66868" w:rsidRPr="00F66868" w:rsidRDefault="00F66868" w:rsidP="00F66868"/>
          <w:p w14:paraId="5D5EC3E6" w14:textId="72899E2F" w:rsidR="00C038A6" w:rsidRPr="00F66868" w:rsidRDefault="00C038A6" w:rsidP="00F66868"/>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F66868">
              <w:rPr>
                <w:sz w:val="20"/>
                <w:szCs w:val="20"/>
              </w:rPr>
            </w:r>
            <w:r w:rsidR="00F66868">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66868">
              <w:rPr>
                <w:sz w:val="20"/>
                <w:szCs w:val="20"/>
              </w:rPr>
            </w:r>
            <w:r w:rsidR="00F66868">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66868">
              <w:rPr>
                <w:sz w:val="20"/>
                <w:szCs w:val="20"/>
              </w:rPr>
            </w:r>
            <w:r w:rsidR="00F66868">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66868">
              <w:rPr>
                <w:sz w:val="20"/>
                <w:szCs w:val="20"/>
              </w:rPr>
            </w:r>
            <w:r w:rsidR="00F66868">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66868">
              <w:rPr>
                <w:sz w:val="20"/>
                <w:szCs w:val="20"/>
              </w:rPr>
            </w:r>
            <w:r w:rsidR="00F66868">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66868">
              <w:rPr>
                <w:sz w:val="20"/>
                <w:szCs w:val="20"/>
              </w:rPr>
            </w:r>
            <w:r w:rsidR="00F66868">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66868">
              <w:rPr>
                <w:sz w:val="20"/>
                <w:szCs w:val="20"/>
              </w:rPr>
            </w:r>
            <w:r w:rsidR="00F66868">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66868">
              <w:rPr>
                <w:sz w:val="20"/>
                <w:szCs w:val="20"/>
              </w:rPr>
            </w:r>
            <w:r w:rsidR="00F66868">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66868">
              <w:rPr>
                <w:sz w:val="20"/>
                <w:szCs w:val="20"/>
              </w:rPr>
            </w:r>
            <w:r w:rsidR="00F66868">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26EF9021" w14:textId="77777777" w:rsidR="00F66868" w:rsidRDefault="00F66868" w:rsidP="00F66868">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F66868" w:rsidRPr="00CF52BC" w14:paraId="6E3C2A2B" w14:textId="77777777" w:rsidTr="00656044">
        <w:tc>
          <w:tcPr>
            <w:tcW w:w="14966" w:type="dxa"/>
            <w:tcBorders>
              <w:top w:val="single" w:sz="18" w:space="0" w:color="auto"/>
              <w:left w:val="single" w:sz="18" w:space="0" w:color="auto"/>
              <w:bottom w:val="single" w:sz="18" w:space="0" w:color="auto"/>
              <w:right w:val="single" w:sz="18" w:space="0" w:color="auto"/>
            </w:tcBorders>
          </w:tcPr>
          <w:p w14:paraId="4F7906FF" w14:textId="77777777" w:rsidR="00F66868" w:rsidRDefault="00F66868"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710E49A3" w14:textId="77777777" w:rsidR="00F66868" w:rsidRPr="00CF52BC" w:rsidRDefault="00F66868" w:rsidP="00656044">
            <w:pPr>
              <w:widowControl w:val="0"/>
              <w:kinsoku w:val="0"/>
              <w:overflowPunct w:val="0"/>
              <w:autoSpaceDE w:val="0"/>
              <w:autoSpaceDN w:val="0"/>
              <w:adjustRightInd w:val="0"/>
              <w:rPr>
                <w:rFonts w:eastAsia="Times New Roman" w:cstheme="minorHAnsi"/>
                <w:sz w:val="24"/>
                <w:szCs w:val="24"/>
              </w:rPr>
            </w:pPr>
          </w:p>
          <w:p w14:paraId="4C2BECB9" w14:textId="77777777" w:rsidR="00F66868" w:rsidRPr="00CF52BC" w:rsidRDefault="00F66868" w:rsidP="00656044">
            <w:pPr>
              <w:widowControl w:val="0"/>
              <w:kinsoku w:val="0"/>
              <w:overflowPunct w:val="0"/>
              <w:autoSpaceDE w:val="0"/>
              <w:autoSpaceDN w:val="0"/>
              <w:adjustRightInd w:val="0"/>
              <w:rPr>
                <w:rFonts w:eastAsia="Times New Roman" w:cstheme="minorHAnsi"/>
                <w:sz w:val="24"/>
                <w:szCs w:val="24"/>
              </w:rPr>
            </w:pPr>
          </w:p>
          <w:p w14:paraId="4C254E72" w14:textId="77777777" w:rsidR="00F66868" w:rsidRPr="00CF52BC" w:rsidRDefault="00F66868"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4E3F5211" w14:textId="77777777" w:rsidR="00F66868" w:rsidRPr="00CF52BC" w:rsidRDefault="00F66868"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754C" w14:textId="77777777" w:rsidR="00C07EEF" w:rsidRDefault="00C07EEF" w:rsidP="00C01D9A">
      <w:pPr>
        <w:spacing w:after="0" w:line="240" w:lineRule="auto"/>
      </w:pPr>
      <w:r>
        <w:separator/>
      </w:r>
    </w:p>
  </w:endnote>
  <w:endnote w:type="continuationSeparator" w:id="0">
    <w:p w14:paraId="6AA99F67" w14:textId="77777777" w:rsidR="00C07EEF" w:rsidRDefault="00C07EEF"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55B2458" w:rsidR="006069F9" w:rsidRDefault="006069F9" w:rsidP="006069F9">
            <w:pPr>
              <w:pStyle w:val="Footer"/>
            </w:pPr>
            <w:r>
              <w:t>Rev. 0, Date:  08/</w:t>
            </w:r>
            <w:r w:rsidR="00F66868">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DF50" w14:textId="77777777" w:rsidR="00C07EEF" w:rsidRDefault="00C07EEF" w:rsidP="00C01D9A">
      <w:pPr>
        <w:spacing w:after="0" w:line="240" w:lineRule="auto"/>
      </w:pPr>
      <w:r>
        <w:separator/>
      </w:r>
    </w:p>
  </w:footnote>
  <w:footnote w:type="continuationSeparator" w:id="0">
    <w:p w14:paraId="7784C749" w14:textId="77777777" w:rsidR="00C07EEF" w:rsidRDefault="00C07EEF"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ADfHeaTQzpWRI4n3y9OXs1QMMlSres+bkGEROruNp2obH3soNoUqyQIjEa2+KOkstPEAU3moqE6ted+ghdcCRQ==" w:salt="9VLLeqJ1W0NdH81xgixy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14C40"/>
    <w:rsid w:val="00565793"/>
    <w:rsid w:val="00585658"/>
    <w:rsid w:val="005B3D53"/>
    <w:rsid w:val="005E1DD9"/>
    <w:rsid w:val="005E656A"/>
    <w:rsid w:val="006069F9"/>
    <w:rsid w:val="0064048A"/>
    <w:rsid w:val="00641D5F"/>
    <w:rsid w:val="00665E84"/>
    <w:rsid w:val="006B6D8E"/>
    <w:rsid w:val="006C6230"/>
    <w:rsid w:val="006F6CAF"/>
    <w:rsid w:val="00731974"/>
    <w:rsid w:val="00740115"/>
    <w:rsid w:val="00750CDC"/>
    <w:rsid w:val="007A2EF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07EEF"/>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EA18B9"/>
    <w:rsid w:val="00F408A9"/>
    <w:rsid w:val="00F66868"/>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F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3BF0-5F1A-494C-ADD9-BB0E5D64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2018-08-21T14:39:00Z</dcterms:created>
  <dcterms:modified xsi:type="dcterms:W3CDTF">2018-08-21T14:39:00Z</dcterms:modified>
</cp:coreProperties>
</file>