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8FA6395" w14:textId="77777777" w:rsidR="00CC7C0A" w:rsidRPr="00CC7C0A" w:rsidRDefault="00CC7C0A" w:rsidP="00CC7C0A">
            <w:pPr>
              <w:rPr>
                <w:rFonts w:cstheme="minorHAnsi"/>
                <w:sz w:val="20"/>
                <w:szCs w:val="20"/>
              </w:rPr>
            </w:pPr>
            <w:bookmarkStart w:id="1" w:name="_Hlk518035310"/>
            <w:r w:rsidRPr="00CC7C0A">
              <w:rPr>
                <w:rFonts w:cstheme="minorHAnsi"/>
                <w:sz w:val="20"/>
                <w:szCs w:val="20"/>
              </w:rPr>
              <w:t>Bloodborne Pathogens</w:t>
            </w:r>
          </w:p>
          <w:p w14:paraId="38CB378D" w14:textId="77777777" w:rsidR="00CC7C0A" w:rsidRPr="00CC7C0A" w:rsidRDefault="00CC7C0A" w:rsidP="00CC7C0A">
            <w:pPr>
              <w:rPr>
                <w:rFonts w:cstheme="minorHAnsi"/>
                <w:sz w:val="20"/>
                <w:szCs w:val="20"/>
              </w:rPr>
            </w:pPr>
          </w:p>
          <w:p w14:paraId="74796F0B" w14:textId="671EEFC4" w:rsidR="008E4D08" w:rsidRPr="0064048A" w:rsidRDefault="00CC7C0A" w:rsidP="00CC7C0A">
            <w:pPr>
              <w:rPr>
                <w:rFonts w:cstheme="minorHAnsi"/>
                <w:sz w:val="20"/>
                <w:szCs w:val="20"/>
              </w:rPr>
            </w:pPr>
            <w:r w:rsidRPr="00CC7C0A">
              <w:rPr>
                <w:rFonts w:cstheme="minorHAnsi"/>
                <w:sz w:val="20"/>
                <w:szCs w:val="20"/>
              </w:rPr>
              <w:t>29 CFR 1910.1030</w:t>
            </w:r>
          </w:p>
        </w:tc>
        <w:tc>
          <w:tcPr>
            <w:tcW w:w="6390" w:type="dxa"/>
          </w:tcPr>
          <w:p w14:paraId="71A5DC0C" w14:textId="388E32E2" w:rsidR="008E4D08" w:rsidRPr="004C20B1" w:rsidRDefault="00CC7C0A" w:rsidP="004C20B1">
            <w:pPr>
              <w:rPr>
                <w:rFonts w:cstheme="minorHAnsi"/>
                <w:sz w:val="20"/>
                <w:szCs w:val="20"/>
              </w:rPr>
            </w:pPr>
            <w:r w:rsidRPr="00CC7C0A">
              <w:rPr>
                <w:rFonts w:cstheme="minorHAnsi"/>
                <w:sz w:val="20"/>
                <w:szCs w:val="20"/>
              </w:rPr>
              <w:t>Seller must comply with 29 CFR 1910.1030 for work with the potential for exposure to bloodborne pathogens. Training records, a written Exposure Control Plan, and other required documentation must be submitted to the Technical Project Officer prior to commencement of on-site work.</w:t>
            </w:r>
          </w:p>
        </w:tc>
        <w:tc>
          <w:tcPr>
            <w:tcW w:w="6457" w:type="dxa"/>
          </w:tcPr>
          <w:p w14:paraId="31976E63" w14:textId="77777777" w:rsidR="00CC7C0A" w:rsidRPr="00CC7C0A" w:rsidRDefault="00CC7C0A" w:rsidP="00CC7C0A">
            <w:pPr>
              <w:rPr>
                <w:rFonts w:cstheme="minorHAnsi"/>
                <w:sz w:val="20"/>
                <w:szCs w:val="20"/>
              </w:rPr>
            </w:pPr>
            <w:r w:rsidRPr="00CC7C0A">
              <w:rPr>
                <w:rFonts w:cstheme="minorHAnsi"/>
                <w:sz w:val="20"/>
                <w:szCs w:val="20"/>
              </w:rPr>
              <w:t>Worker must have completed Bloodborne Pathogens training before starting any on-site work.</w:t>
            </w:r>
          </w:p>
          <w:p w14:paraId="19729360" w14:textId="77777777" w:rsidR="00CC7C0A" w:rsidRPr="00CC7C0A" w:rsidRDefault="00CC7C0A" w:rsidP="00CC7C0A">
            <w:pPr>
              <w:rPr>
                <w:rFonts w:cstheme="minorHAnsi"/>
                <w:sz w:val="20"/>
                <w:szCs w:val="20"/>
              </w:rPr>
            </w:pPr>
          </w:p>
          <w:p w14:paraId="5B8C8152" w14:textId="77777777" w:rsidR="00CC7C0A" w:rsidRPr="00CC7C0A" w:rsidRDefault="00CC7C0A" w:rsidP="00CC7C0A">
            <w:pPr>
              <w:rPr>
                <w:rFonts w:cstheme="minorHAnsi"/>
                <w:sz w:val="20"/>
                <w:szCs w:val="20"/>
              </w:rPr>
            </w:pPr>
            <w:r w:rsidRPr="00CC7C0A">
              <w:rPr>
                <w:rFonts w:cstheme="minorHAnsi"/>
                <w:sz w:val="20"/>
                <w:szCs w:val="20"/>
              </w:rPr>
              <w:t>Training documents shall be given to Technical Project Officer (TPO) prior to starting an on-site work.</w:t>
            </w:r>
          </w:p>
          <w:p w14:paraId="384A1084" w14:textId="77777777" w:rsidR="00CC7C0A" w:rsidRPr="00CC7C0A" w:rsidRDefault="00CC7C0A" w:rsidP="00CC7C0A">
            <w:pPr>
              <w:rPr>
                <w:rFonts w:cstheme="minorHAnsi"/>
                <w:sz w:val="20"/>
                <w:szCs w:val="20"/>
              </w:rPr>
            </w:pPr>
          </w:p>
          <w:p w14:paraId="0C6856BF" w14:textId="77777777" w:rsidR="00CC7C0A" w:rsidRPr="00CC7C0A" w:rsidRDefault="00CC7C0A" w:rsidP="00CC7C0A">
            <w:pPr>
              <w:rPr>
                <w:rFonts w:cstheme="minorHAnsi"/>
                <w:sz w:val="20"/>
                <w:szCs w:val="20"/>
              </w:rPr>
            </w:pPr>
            <w:r w:rsidRPr="00CC7C0A">
              <w:rPr>
                <w:rFonts w:cstheme="minorHAnsi"/>
                <w:sz w:val="20"/>
                <w:szCs w:val="20"/>
              </w:rPr>
              <w:t>Workers must wear appropriate personal protection equipment.</w:t>
            </w:r>
          </w:p>
          <w:p w14:paraId="19D4991B" w14:textId="77777777" w:rsidR="00CC7C0A" w:rsidRPr="00CC7C0A" w:rsidRDefault="00CC7C0A" w:rsidP="00CC7C0A">
            <w:pPr>
              <w:rPr>
                <w:rFonts w:cstheme="minorHAnsi"/>
                <w:sz w:val="20"/>
                <w:szCs w:val="20"/>
              </w:rPr>
            </w:pPr>
          </w:p>
          <w:p w14:paraId="0C0271BC" w14:textId="77777777" w:rsidR="00CC7C0A" w:rsidRPr="00CC7C0A" w:rsidRDefault="00CC7C0A" w:rsidP="00CC7C0A">
            <w:pPr>
              <w:rPr>
                <w:rFonts w:cstheme="minorHAnsi"/>
                <w:sz w:val="20"/>
                <w:szCs w:val="20"/>
              </w:rPr>
            </w:pPr>
            <w:r w:rsidRPr="00CC7C0A">
              <w:rPr>
                <w:rFonts w:cstheme="minorHAnsi"/>
                <w:sz w:val="20"/>
                <w:szCs w:val="20"/>
              </w:rPr>
              <w:t>Worker shall treat all blood and other potentially infectious materials with appropriate precautions by using gloves, masks, and gowns if blood or OPIM is anticipated.  Worker must use engineering and work practice controls to limit exposure.</w:t>
            </w:r>
          </w:p>
          <w:p w14:paraId="54D1F35E" w14:textId="77777777" w:rsidR="00CC7C0A" w:rsidRPr="00CC7C0A" w:rsidRDefault="00CC7C0A" w:rsidP="00CC7C0A">
            <w:pPr>
              <w:rPr>
                <w:rFonts w:cstheme="minorHAnsi"/>
                <w:sz w:val="20"/>
                <w:szCs w:val="20"/>
              </w:rPr>
            </w:pPr>
          </w:p>
          <w:p w14:paraId="7533B543" w14:textId="2AC01CFA" w:rsidR="008E4D08" w:rsidRPr="0064048A" w:rsidRDefault="00F21C4D" w:rsidP="007B5AB1">
            <w:pPr>
              <w:rPr>
                <w:rFonts w:cstheme="minorHAnsi"/>
                <w:sz w:val="20"/>
                <w:szCs w:val="20"/>
              </w:rPr>
            </w:pPr>
            <w:r w:rsidRPr="00F21C4D">
              <w:rPr>
                <w:rFonts w:cstheme="minorHAnsi"/>
                <w:sz w:val="20"/>
                <w:szCs w:val="20"/>
              </w:rPr>
              <w:t>Immediately report exposure incident to supervisor</w:t>
            </w:r>
            <w:r>
              <w:rPr>
                <w:rFonts w:cstheme="minorHAnsi"/>
                <w:sz w:val="20"/>
                <w:szCs w:val="20"/>
              </w:rPr>
              <w:t>.  Report any spills containing blood or other potentially infectious material (OPIM) to the laboratory shift superintendent (LSS) at 574-6606 to determine appropriate spill response actions</w:t>
            </w:r>
            <w:r w:rsidR="007B5AB1">
              <w:rPr>
                <w:rFonts w:cstheme="minorHAnsi"/>
                <w:sz w:val="20"/>
                <w:szCs w:val="20"/>
              </w:rPr>
              <w:t>.</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0B62F606" w:rsidR="00E24EC1"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p w14:paraId="690A8207" w14:textId="77777777" w:rsidR="00E24EC1" w:rsidRPr="00E24EC1" w:rsidRDefault="00E24EC1" w:rsidP="00E24EC1"/>
          <w:p w14:paraId="39CDD288" w14:textId="77777777" w:rsidR="00E24EC1" w:rsidRPr="00E24EC1" w:rsidRDefault="00E24EC1" w:rsidP="00E24EC1"/>
          <w:p w14:paraId="681324A1" w14:textId="77777777" w:rsidR="00E24EC1" w:rsidRPr="00E24EC1" w:rsidRDefault="00E24EC1" w:rsidP="00E24EC1"/>
          <w:p w14:paraId="2A36B311" w14:textId="77777777" w:rsidR="00E24EC1" w:rsidRPr="00E24EC1" w:rsidRDefault="00E24EC1" w:rsidP="00E24EC1"/>
          <w:p w14:paraId="6E84FA47" w14:textId="417114C5" w:rsidR="00C038A6" w:rsidRPr="00E24EC1" w:rsidRDefault="00C038A6" w:rsidP="00E24EC1"/>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A119E9">
              <w:rPr>
                <w:sz w:val="20"/>
                <w:szCs w:val="20"/>
              </w:rPr>
            </w:r>
            <w:r w:rsidR="00A119E9">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A119E9">
              <w:rPr>
                <w:sz w:val="20"/>
                <w:szCs w:val="20"/>
              </w:rPr>
            </w:r>
            <w:r w:rsidR="00A119E9">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A119E9">
              <w:rPr>
                <w:sz w:val="20"/>
                <w:szCs w:val="20"/>
              </w:rPr>
            </w:r>
            <w:r w:rsidR="00A119E9">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119E9">
              <w:rPr>
                <w:sz w:val="20"/>
                <w:szCs w:val="20"/>
              </w:rPr>
            </w:r>
            <w:r w:rsidR="00A119E9">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A119E9">
              <w:rPr>
                <w:sz w:val="20"/>
                <w:szCs w:val="20"/>
              </w:rPr>
            </w:r>
            <w:r w:rsidR="00A119E9">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A119E9">
              <w:rPr>
                <w:sz w:val="20"/>
                <w:szCs w:val="20"/>
              </w:rPr>
            </w:r>
            <w:r w:rsidR="00A119E9">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119E9">
              <w:rPr>
                <w:sz w:val="20"/>
                <w:szCs w:val="20"/>
              </w:rPr>
            </w:r>
            <w:r w:rsidR="00A119E9">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A119E9">
              <w:rPr>
                <w:sz w:val="20"/>
                <w:szCs w:val="20"/>
              </w:rPr>
            </w:r>
            <w:r w:rsidR="00A119E9">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A119E9">
              <w:rPr>
                <w:sz w:val="20"/>
                <w:szCs w:val="20"/>
              </w:rPr>
            </w:r>
            <w:r w:rsidR="00A119E9">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lastRenderedPageBreak/>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CAA079B" w14:textId="6007861C" w:rsidR="00AD7DD2" w:rsidRDefault="00AD7DD2" w:rsidP="00AD7DD2">
      <w:pPr>
        <w:pStyle w:val="BodyText"/>
        <w:kinsoku w:val="0"/>
        <w:overflowPunct w:val="0"/>
        <w:rPr>
          <w:rFonts w:asciiTheme="minorHAnsi" w:hAnsiTheme="minorHAnsi" w:cstheme="minorHAnsi"/>
          <w:sz w:val="24"/>
          <w:szCs w:val="24"/>
        </w:rPr>
      </w:pPr>
    </w:p>
    <w:p w14:paraId="1BB0D6DC" w14:textId="77777777" w:rsidR="00A119E9" w:rsidRPr="00200423" w:rsidRDefault="00A119E9" w:rsidP="00AD7DD2">
      <w:pPr>
        <w:pStyle w:val="BodyText"/>
        <w:kinsoku w:val="0"/>
        <w:overflowPunct w:val="0"/>
        <w:rPr>
          <w:rFonts w:asciiTheme="minorHAnsi" w:hAnsiTheme="minorHAnsi" w:cstheme="minorHAnsi"/>
          <w:sz w:val="24"/>
          <w:szCs w:val="24"/>
        </w:rPr>
      </w:pPr>
    </w:p>
    <w:p w14:paraId="06BF5EF1" w14:textId="77777777" w:rsidR="00A735CB" w:rsidRDefault="00A735CB" w:rsidP="00A735CB">
      <w:pPr>
        <w:pStyle w:val="BodyText"/>
        <w:kinsoku w:val="0"/>
        <w:overflowPunct w:val="0"/>
        <w:rPr>
          <w:rFonts w:asciiTheme="minorHAnsi" w:hAnsiTheme="minorHAnsi" w:cstheme="minorHAnsi"/>
          <w:sz w:val="24"/>
          <w:szCs w:val="24"/>
        </w:rPr>
      </w:pPr>
      <w:bookmarkStart w:id="5" w:name="_Hlk522256530"/>
    </w:p>
    <w:p w14:paraId="4C2E913C" w14:textId="77777777" w:rsidR="00A119E9" w:rsidRDefault="00A119E9" w:rsidP="00A119E9">
      <w:pPr>
        <w:pStyle w:val="BodyText"/>
        <w:kinsoku w:val="0"/>
        <w:overflowPunct w:val="0"/>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14930"/>
      </w:tblGrid>
      <w:tr w:rsidR="00A119E9" w:rsidRPr="00CF52BC" w14:paraId="0D325C31" w14:textId="77777777" w:rsidTr="00AC4055">
        <w:tc>
          <w:tcPr>
            <w:tcW w:w="14966" w:type="dxa"/>
            <w:tcBorders>
              <w:top w:val="single" w:sz="18" w:space="0" w:color="auto"/>
              <w:left w:val="single" w:sz="18" w:space="0" w:color="auto"/>
              <w:bottom w:val="single" w:sz="18" w:space="0" w:color="auto"/>
              <w:right w:val="single" w:sz="18" w:space="0" w:color="auto"/>
            </w:tcBorders>
          </w:tcPr>
          <w:p w14:paraId="3186913A" w14:textId="77777777" w:rsidR="00A119E9" w:rsidRDefault="00A119E9"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127E1D2A" w14:textId="77777777" w:rsidR="00A119E9" w:rsidRPr="00CF52BC" w:rsidRDefault="00A119E9" w:rsidP="00AC4055">
            <w:pPr>
              <w:widowControl w:val="0"/>
              <w:kinsoku w:val="0"/>
              <w:overflowPunct w:val="0"/>
              <w:autoSpaceDE w:val="0"/>
              <w:autoSpaceDN w:val="0"/>
              <w:adjustRightInd w:val="0"/>
              <w:rPr>
                <w:rFonts w:eastAsia="Times New Roman" w:cstheme="minorHAnsi"/>
                <w:sz w:val="24"/>
                <w:szCs w:val="24"/>
              </w:rPr>
            </w:pPr>
          </w:p>
          <w:p w14:paraId="0B31857D" w14:textId="77777777" w:rsidR="00A119E9" w:rsidRPr="00CF52BC" w:rsidRDefault="00A119E9" w:rsidP="00AC4055">
            <w:pPr>
              <w:widowControl w:val="0"/>
              <w:kinsoku w:val="0"/>
              <w:overflowPunct w:val="0"/>
              <w:autoSpaceDE w:val="0"/>
              <w:autoSpaceDN w:val="0"/>
              <w:adjustRightInd w:val="0"/>
              <w:rPr>
                <w:rFonts w:eastAsia="Times New Roman" w:cstheme="minorHAnsi"/>
                <w:sz w:val="24"/>
                <w:szCs w:val="24"/>
              </w:rPr>
            </w:pPr>
          </w:p>
          <w:p w14:paraId="05DACCDA" w14:textId="77777777" w:rsidR="00A119E9" w:rsidRPr="00CF52BC" w:rsidRDefault="00A119E9" w:rsidP="00AC4055">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35F182C4" w14:textId="77777777" w:rsidR="00A119E9" w:rsidRPr="00CF52BC" w:rsidRDefault="00A119E9" w:rsidP="00AC4055">
            <w:pPr>
              <w:widowControl w:val="0"/>
              <w:kinsoku w:val="0"/>
              <w:overflowPunct w:val="0"/>
              <w:autoSpaceDE w:val="0"/>
              <w:autoSpaceDN w:val="0"/>
              <w:adjustRightInd w:val="0"/>
              <w:rPr>
                <w:rFonts w:eastAsia="Times New Roman" w:cstheme="minorHAnsi"/>
                <w:sz w:val="24"/>
                <w:szCs w:val="24"/>
              </w:rPr>
            </w:pPr>
          </w:p>
        </w:tc>
      </w:tr>
    </w:tbl>
    <w:p w14:paraId="51188FB3" w14:textId="492461F6" w:rsidR="00AD7DD2" w:rsidRPr="004D4D0F" w:rsidRDefault="004D4D0F" w:rsidP="004D4D0F">
      <w:pPr>
        <w:tabs>
          <w:tab w:val="left" w:pos="13932"/>
        </w:tabs>
      </w:pPr>
      <w:r>
        <w:tab/>
      </w:r>
      <w:bookmarkEnd w:id="5"/>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4A616EB4" w:rsidR="006069F9" w:rsidRDefault="006069F9" w:rsidP="006069F9">
            <w:pPr>
              <w:pStyle w:val="Footer"/>
            </w:pPr>
            <w:r>
              <w:t>Rev. 0, Date:  08/</w:t>
            </w:r>
            <w:r w:rsidR="00E24EC1">
              <w:t>17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C1b1NGuw4ngU+hceVgpuCZLduGv8Wr/krjDUeaZHDvoythp4HeKmfGN3ybkuQLyjv8YdYWvedhuekeEXFFMgw==" w:salt="dxvHFz4hBTy77Di0Ce0Yq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87278"/>
    <w:rsid w:val="005B3D53"/>
    <w:rsid w:val="005E1DD9"/>
    <w:rsid w:val="005E656A"/>
    <w:rsid w:val="006069F9"/>
    <w:rsid w:val="0064048A"/>
    <w:rsid w:val="00641D5F"/>
    <w:rsid w:val="00665E84"/>
    <w:rsid w:val="006B6D8E"/>
    <w:rsid w:val="006C6230"/>
    <w:rsid w:val="006F6CAF"/>
    <w:rsid w:val="00731974"/>
    <w:rsid w:val="00750CDC"/>
    <w:rsid w:val="007B16CC"/>
    <w:rsid w:val="007B5AB1"/>
    <w:rsid w:val="0088692B"/>
    <w:rsid w:val="008A049D"/>
    <w:rsid w:val="008E4D08"/>
    <w:rsid w:val="0094324F"/>
    <w:rsid w:val="00952F65"/>
    <w:rsid w:val="009578F2"/>
    <w:rsid w:val="0096086A"/>
    <w:rsid w:val="009B443A"/>
    <w:rsid w:val="00A06D31"/>
    <w:rsid w:val="00A119E9"/>
    <w:rsid w:val="00A40041"/>
    <w:rsid w:val="00A612D8"/>
    <w:rsid w:val="00A613E6"/>
    <w:rsid w:val="00A735CB"/>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CC7C0A"/>
    <w:rsid w:val="00D20B88"/>
    <w:rsid w:val="00D4646C"/>
    <w:rsid w:val="00D46B79"/>
    <w:rsid w:val="00D74316"/>
    <w:rsid w:val="00D76B65"/>
    <w:rsid w:val="00DC3431"/>
    <w:rsid w:val="00DF52B0"/>
    <w:rsid w:val="00E11A5E"/>
    <w:rsid w:val="00E13702"/>
    <w:rsid w:val="00E20BC0"/>
    <w:rsid w:val="00E24EC1"/>
    <w:rsid w:val="00E531F7"/>
    <w:rsid w:val="00F21C4D"/>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A1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7708">
      <w:bodyDiv w:val="1"/>
      <w:marLeft w:val="0"/>
      <w:marRight w:val="0"/>
      <w:marTop w:val="0"/>
      <w:marBottom w:val="0"/>
      <w:divBdr>
        <w:top w:val="none" w:sz="0" w:space="0" w:color="auto"/>
        <w:left w:val="none" w:sz="0" w:space="0" w:color="auto"/>
        <w:bottom w:val="none" w:sz="0" w:space="0" w:color="auto"/>
        <w:right w:val="none" w:sz="0" w:space="0" w:color="auto"/>
      </w:divBdr>
    </w:div>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5D8C-6E46-4356-8479-573BCA02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2018-08-17T12:08:00Z</dcterms:created>
  <dcterms:modified xsi:type="dcterms:W3CDTF">2018-08-17T19:00:00Z</dcterms:modified>
</cp:coreProperties>
</file>