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bookmarkEnd w:id="0"/>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4424845F" w14:textId="77777777" w:rsidR="00BB5438" w:rsidRPr="00BB5438" w:rsidRDefault="00BB5438" w:rsidP="00BB5438">
            <w:pPr>
              <w:rPr>
                <w:rFonts w:cstheme="minorHAnsi"/>
                <w:sz w:val="20"/>
                <w:szCs w:val="20"/>
              </w:rPr>
            </w:pPr>
            <w:bookmarkStart w:id="1" w:name="_Hlk518035310"/>
            <w:r w:rsidRPr="00BB5438">
              <w:rPr>
                <w:rFonts w:cstheme="minorHAnsi"/>
                <w:sz w:val="20"/>
                <w:szCs w:val="20"/>
              </w:rPr>
              <w:t>Electrical Hazards</w:t>
            </w:r>
          </w:p>
          <w:p w14:paraId="47F7184A" w14:textId="77777777" w:rsidR="00BB5438" w:rsidRPr="00BB5438" w:rsidRDefault="00BB5438" w:rsidP="00BB5438">
            <w:pPr>
              <w:rPr>
                <w:rFonts w:cstheme="minorHAnsi"/>
                <w:sz w:val="20"/>
                <w:szCs w:val="20"/>
              </w:rPr>
            </w:pPr>
          </w:p>
          <w:p w14:paraId="6D6B984F" w14:textId="77777777" w:rsidR="00BB5438" w:rsidRPr="00BB5438" w:rsidRDefault="00BB5438" w:rsidP="00BB5438">
            <w:pPr>
              <w:rPr>
                <w:rFonts w:cstheme="minorHAnsi"/>
                <w:sz w:val="20"/>
                <w:szCs w:val="20"/>
              </w:rPr>
            </w:pPr>
            <w:r w:rsidRPr="00BB5438">
              <w:rPr>
                <w:rFonts w:cstheme="minorHAnsi"/>
                <w:sz w:val="20"/>
                <w:szCs w:val="20"/>
              </w:rPr>
              <w:t>29 CFR 1910 Subpart S</w:t>
            </w:r>
          </w:p>
          <w:p w14:paraId="53BF0F33" w14:textId="77777777" w:rsidR="00BB5438" w:rsidRPr="00BB5438" w:rsidRDefault="00BB5438" w:rsidP="00BB5438">
            <w:pPr>
              <w:rPr>
                <w:rFonts w:cstheme="minorHAnsi"/>
                <w:sz w:val="20"/>
                <w:szCs w:val="20"/>
              </w:rPr>
            </w:pPr>
          </w:p>
          <w:p w14:paraId="74796F0B" w14:textId="63B70525" w:rsidR="008E4D08" w:rsidRPr="0064048A" w:rsidRDefault="00BB5438" w:rsidP="00BB5438">
            <w:pPr>
              <w:rPr>
                <w:rFonts w:cstheme="minorHAnsi"/>
                <w:sz w:val="20"/>
                <w:szCs w:val="20"/>
              </w:rPr>
            </w:pPr>
            <w:r w:rsidRPr="00BB5438">
              <w:rPr>
                <w:rFonts w:cstheme="minorHAnsi"/>
                <w:sz w:val="20"/>
                <w:szCs w:val="20"/>
              </w:rPr>
              <w:t>NFPA 70</w:t>
            </w:r>
          </w:p>
        </w:tc>
        <w:tc>
          <w:tcPr>
            <w:tcW w:w="6390" w:type="dxa"/>
          </w:tcPr>
          <w:p w14:paraId="71A5DC0C" w14:textId="37BF88B0" w:rsidR="008E4D08" w:rsidRPr="004C20B1" w:rsidRDefault="00BB5438" w:rsidP="004C20B1">
            <w:pPr>
              <w:rPr>
                <w:rFonts w:cstheme="minorHAnsi"/>
                <w:sz w:val="20"/>
                <w:szCs w:val="20"/>
              </w:rPr>
            </w:pPr>
            <w:r w:rsidRPr="00BB5438">
              <w:rPr>
                <w:rFonts w:cstheme="minorHAnsi"/>
                <w:sz w:val="20"/>
                <w:szCs w:val="20"/>
              </w:rPr>
              <w:t>The Seller shall perform service and maintenance activities employing work practices required for electrical safety by the Occupational Safety and Health Administration (OSHA) in 29 CFR 1910 Subpart S and NFPA 70E, Standard for Electrical Safety in the Workplace 2012 Edition. Maintenance, testing, startup, and repair activities involving the potential for contact with exposed energized electrical circuits or parts shall be performed with the equipment de energized unless this is infeasible because of diagnostic or operational limitations. To control potential electrical hazards, system components shall be disconnected from their electric energy source(s), with the disconnecting means (power cord and plug, safety switch, etc.) under the control of the service Seller. All stored electrical energy which might endanger personnel through contact (high amperage batteries, capacitors and high capacitance elements, high energy electromagnets, etc.) shall be discharged or safely isolated from the circuit. See Lockout/Tagout section.</w:t>
            </w:r>
          </w:p>
        </w:tc>
        <w:tc>
          <w:tcPr>
            <w:tcW w:w="6457" w:type="dxa"/>
          </w:tcPr>
          <w:p w14:paraId="27BF83DB" w14:textId="77777777" w:rsidR="00BB5438" w:rsidRPr="00BB5438" w:rsidRDefault="00BB5438" w:rsidP="00BB5438">
            <w:pPr>
              <w:rPr>
                <w:rFonts w:cstheme="minorHAnsi"/>
                <w:sz w:val="20"/>
                <w:szCs w:val="20"/>
              </w:rPr>
            </w:pPr>
            <w:r w:rsidRPr="00BB5438">
              <w:rPr>
                <w:rFonts w:cstheme="minorHAnsi"/>
                <w:sz w:val="20"/>
                <w:szCs w:val="20"/>
              </w:rPr>
              <w:t>Workers shall ensure they are qualified to perform any electrical work.</w:t>
            </w:r>
          </w:p>
          <w:p w14:paraId="793229AB" w14:textId="77777777" w:rsidR="00BB5438" w:rsidRPr="00BB5438" w:rsidRDefault="00BB5438" w:rsidP="00BB5438">
            <w:pPr>
              <w:rPr>
                <w:rFonts w:cstheme="minorHAnsi"/>
                <w:sz w:val="20"/>
                <w:szCs w:val="20"/>
              </w:rPr>
            </w:pPr>
          </w:p>
          <w:p w14:paraId="14757F68" w14:textId="77777777" w:rsidR="00BB5438" w:rsidRPr="00BB5438" w:rsidRDefault="00BB5438" w:rsidP="00BB5438">
            <w:pPr>
              <w:rPr>
                <w:rFonts w:cstheme="minorHAnsi"/>
                <w:sz w:val="20"/>
                <w:szCs w:val="20"/>
              </w:rPr>
            </w:pPr>
          </w:p>
          <w:p w14:paraId="7533B543" w14:textId="39BAD4AE" w:rsidR="008E4D08" w:rsidRPr="0064048A" w:rsidRDefault="00BB5438" w:rsidP="00BB5438">
            <w:pPr>
              <w:rPr>
                <w:rFonts w:cstheme="minorHAnsi"/>
                <w:sz w:val="20"/>
                <w:szCs w:val="20"/>
              </w:rPr>
            </w:pPr>
            <w:r w:rsidRPr="00BB5438">
              <w:rPr>
                <w:rFonts w:cstheme="minorHAnsi"/>
                <w:sz w:val="20"/>
                <w:szCs w:val="20"/>
              </w:rPr>
              <w:t>Workers shall ensure maintenance, testing, startup, and repair activities involving the potential for contact with exposed energized electrical circuits or parts shall be performed with the equipment de energized unless this is infeasible because of diagnostic or operational limitations. To control potential electrical hazards, system components shall be disconnected from their electric energy source(s), with the disconnecting means (power cord and plug, safety switch, etc.) under the control of the service Seller. All stored electrical energy which might endanger personnel through contact (high amperage batteries, capacitors and high capacitance elements, high energy electromagnets, etc.) shall be discharged or safely isolated from the circuit.  See Lockout/Tagout section.</w:t>
            </w:r>
          </w:p>
        </w:tc>
      </w:tr>
      <w:bookmarkEnd w:id="1"/>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2"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605760">
              <w:rPr>
                <w:sz w:val="20"/>
                <w:szCs w:val="20"/>
              </w:rPr>
            </w:r>
            <w:r w:rsidR="00605760">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605760">
              <w:rPr>
                <w:sz w:val="20"/>
                <w:szCs w:val="20"/>
              </w:rPr>
            </w:r>
            <w:r w:rsidR="00605760">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605760">
              <w:rPr>
                <w:sz w:val="20"/>
                <w:szCs w:val="20"/>
              </w:rPr>
            </w:r>
            <w:r w:rsidR="00605760">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605760">
              <w:rPr>
                <w:sz w:val="20"/>
                <w:szCs w:val="20"/>
              </w:rPr>
            </w:r>
            <w:r w:rsidR="00605760">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605760">
              <w:rPr>
                <w:sz w:val="20"/>
                <w:szCs w:val="20"/>
              </w:rPr>
            </w:r>
            <w:r w:rsidR="00605760">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605760">
              <w:rPr>
                <w:sz w:val="20"/>
                <w:szCs w:val="20"/>
              </w:rPr>
            </w:r>
            <w:r w:rsidR="00605760">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605760">
              <w:rPr>
                <w:sz w:val="20"/>
                <w:szCs w:val="20"/>
              </w:rPr>
            </w:r>
            <w:r w:rsidR="00605760">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605760">
              <w:rPr>
                <w:sz w:val="20"/>
                <w:szCs w:val="20"/>
              </w:rPr>
            </w:r>
            <w:r w:rsidR="00605760">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605760">
              <w:rPr>
                <w:sz w:val="20"/>
                <w:szCs w:val="20"/>
              </w:rPr>
            </w:r>
            <w:r w:rsidR="00605760">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EC5266C" w14:textId="77777777" w:rsidR="00590287" w:rsidRDefault="00590287" w:rsidP="00075CB9">
      <w:pPr>
        <w:tabs>
          <w:tab w:val="left" w:pos="4320"/>
          <w:tab w:val="left" w:pos="6637"/>
        </w:tabs>
      </w:pPr>
    </w:p>
    <w:p w14:paraId="7307DFF0" w14:textId="06B8E8BC"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39A2B01A" w14:textId="77777777" w:rsidR="00590287" w:rsidRDefault="00590287" w:rsidP="00590287">
      <w:pPr>
        <w:pStyle w:val="BodyText"/>
        <w:kinsoku w:val="0"/>
        <w:overflowPunct w:val="0"/>
        <w:rPr>
          <w:rFonts w:asciiTheme="minorHAnsi" w:hAnsiTheme="minorHAnsi"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590287" w:rsidRPr="00CF52BC" w14:paraId="692EDA59" w14:textId="77777777" w:rsidTr="00656044">
        <w:tc>
          <w:tcPr>
            <w:tcW w:w="14966" w:type="dxa"/>
            <w:tcBorders>
              <w:top w:val="single" w:sz="18" w:space="0" w:color="auto"/>
              <w:left w:val="single" w:sz="18" w:space="0" w:color="auto"/>
              <w:bottom w:val="single" w:sz="18" w:space="0" w:color="auto"/>
              <w:right w:val="single" w:sz="18" w:space="0" w:color="auto"/>
            </w:tcBorders>
          </w:tcPr>
          <w:p w14:paraId="314AB79A" w14:textId="77777777" w:rsidR="00590287" w:rsidRDefault="00590287" w:rsidP="00656044">
            <w:pPr>
              <w:widowControl w:val="0"/>
              <w:kinsoku w:val="0"/>
              <w:overflowPunct w:val="0"/>
              <w:autoSpaceDE w:val="0"/>
              <w:autoSpaceDN w:val="0"/>
              <w:adjustRightInd w:val="0"/>
              <w:rPr>
                <w:rFonts w:eastAsia="Times New Roman" w:cstheme="minorHAnsi"/>
                <w:sz w:val="24"/>
                <w:szCs w:val="24"/>
              </w:rPr>
            </w:pPr>
            <w:bookmarkStart w:id="6" w:name="_Hlk522538087"/>
            <w:r w:rsidRPr="00CF52BC">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1A7266D7" w14:textId="77777777" w:rsidR="00590287" w:rsidRPr="00CF52BC" w:rsidRDefault="00590287" w:rsidP="00656044">
            <w:pPr>
              <w:widowControl w:val="0"/>
              <w:kinsoku w:val="0"/>
              <w:overflowPunct w:val="0"/>
              <w:autoSpaceDE w:val="0"/>
              <w:autoSpaceDN w:val="0"/>
              <w:adjustRightInd w:val="0"/>
              <w:rPr>
                <w:rFonts w:eastAsia="Times New Roman" w:cstheme="minorHAnsi"/>
                <w:sz w:val="24"/>
                <w:szCs w:val="24"/>
              </w:rPr>
            </w:pPr>
          </w:p>
          <w:p w14:paraId="31DFFC0E" w14:textId="77777777" w:rsidR="00590287" w:rsidRPr="00CF52BC" w:rsidRDefault="00590287" w:rsidP="00656044">
            <w:pPr>
              <w:widowControl w:val="0"/>
              <w:kinsoku w:val="0"/>
              <w:overflowPunct w:val="0"/>
              <w:autoSpaceDE w:val="0"/>
              <w:autoSpaceDN w:val="0"/>
              <w:adjustRightInd w:val="0"/>
              <w:rPr>
                <w:rFonts w:eastAsia="Times New Roman" w:cstheme="minorHAnsi"/>
                <w:sz w:val="24"/>
                <w:szCs w:val="24"/>
              </w:rPr>
            </w:pPr>
          </w:p>
          <w:p w14:paraId="78D57688" w14:textId="77777777" w:rsidR="00590287" w:rsidRPr="00CF52BC" w:rsidRDefault="00590287" w:rsidP="00656044">
            <w:pPr>
              <w:widowControl w:val="0"/>
              <w:kinsoku w:val="0"/>
              <w:overflowPunct w:val="0"/>
              <w:autoSpaceDE w:val="0"/>
              <w:autoSpaceDN w:val="0"/>
              <w:adjustRightInd w:val="0"/>
              <w:rPr>
                <w:rFonts w:eastAsia="Times New Roman" w:cstheme="minorHAnsi"/>
                <w:sz w:val="24"/>
                <w:szCs w:val="24"/>
              </w:rPr>
            </w:pPr>
            <w:r w:rsidRPr="00CF52BC">
              <w:rPr>
                <w:rFonts w:eastAsia="Times New Roman" w:cstheme="minorHAnsi"/>
                <w:sz w:val="24"/>
                <w:szCs w:val="24"/>
              </w:rPr>
              <w:t xml:space="preserve">Printed Name/Signature: _____________________________________________________________________________           Date_____________ </w:t>
            </w:r>
          </w:p>
          <w:p w14:paraId="30312A41" w14:textId="77777777" w:rsidR="00590287" w:rsidRPr="00CF52BC" w:rsidRDefault="00590287" w:rsidP="00656044">
            <w:pPr>
              <w:widowControl w:val="0"/>
              <w:kinsoku w:val="0"/>
              <w:overflowPunct w:val="0"/>
              <w:autoSpaceDE w:val="0"/>
              <w:autoSpaceDN w:val="0"/>
              <w:adjustRightInd w:val="0"/>
              <w:rPr>
                <w:rFonts w:eastAsia="Times New Roman" w:cstheme="minorHAnsi"/>
                <w:sz w:val="24"/>
                <w:szCs w:val="24"/>
              </w:rPr>
            </w:pPr>
          </w:p>
        </w:tc>
      </w:tr>
    </w:tbl>
    <w:bookmarkEnd w:id="5"/>
    <w:bookmarkEnd w:id="6"/>
    <w:p w14:paraId="51188FB3" w14:textId="457B8743" w:rsidR="00590287" w:rsidRDefault="004D4D0F" w:rsidP="004D4D0F">
      <w:pPr>
        <w:tabs>
          <w:tab w:val="left" w:pos="13932"/>
        </w:tabs>
      </w:pPr>
      <w:r>
        <w:tab/>
      </w:r>
    </w:p>
    <w:p w14:paraId="711B9AD4" w14:textId="77777777" w:rsidR="00590287" w:rsidRPr="00590287" w:rsidRDefault="00590287" w:rsidP="00590287"/>
    <w:p w14:paraId="30518694" w14:textId="77777777" w:rsidR="00590287" w:rsidRPr="00590287" w:rsidRDefault="00590287" w:rsidP="00590287"/>
    <w:p w14:paraId="4236FFBC" w14:textId="77777777" w:rsidR="00590287" w:rsidRPr="00590287" w:rsidRDefault="00590287" w:rsidP="00590287"/>
    <w:p w14:paraId="65CD7239" w14:textId="77777777" w:rsidR="00590287" w:rsidRPr="00590287" w:rsidRDefault="00590287" w:rsidP="00590287"/>
    <w:p w14:paraId="4DA40411" w14:textId="77777777" w:rsidR="00590287" w:rsidRPr="00590287" w:rsidRDefault="00590287" w:rsidP="00590287"/>
    <w:p w14:paraId="421CF645" w14:textId="77777777" w:rsidR="00590287" w:rsidRPr="00590287" w:rsidRDefault="00590287" w:rsidP="00590287"/>
    <w:p w14:paraId="39C9386D" w14:textId="77777777" w:rsidR="00590287" w:rsidRPr="00590287" w:rsidRDefault="00590287" w:rsidP="00590287"/>
    <w:p w14:paraId="7DB3749E" w14:textId="77777777" w:rsidR="00590287" w:rsidRPr="00590287" w:rsidRDefault="00590287" w:rsidP="00590287"/>
    <w:p w14:paraId="21C068F0" w14:textId="77777777" w:rsidR="00590287" w:rsidRPr="00590287" w:rsidRDefault="00590287" w:rsidP="00590287"/>
    <w:p w14:paraId="5DA12A9F" w14:textId="77777777" w:rsidR="00590287" w:rsidRPr="00590287" w:rsidRDefault="00590287" w:rsidP="00590287"/>
    <w:p w14:paraId="2F00E3A4" w14:textId="0AED003D" w:rsidR="00AD7DD2" w:rsidRPr="00590287" w:rsidRDefault="00590287" w:rsidP="00590287">
      <w:pPr>
        <w:tabs>
          <w:tab w:val="left" w:pos="1520"/>
        </w:tabs>
      </w:pPr>
      <w:r>
        <w:tab/>
      </w:r>
    </w:p>
    <w:sectPr w:rsidR="00AD7DD2" w:rsidRPr="00590287"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6BE84FF7" w:rsidR="006069F9" w:rsidRDefault="006069F9" w:rsidP="006069F9">
            <w:pPr>
              <w:pStyle w:val="Footer"/>
            </w:pPr>
            <w:r>
              <w:t>Rev. 0, Date:  08/</w:t>
            </w:r>
            <w:r w:rsidR="00590287">
              <w:t>20</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formatting="1" w:enforcement="1" w:cryptProviderType="rsaAES" w:cryptAlgorithmClass="hash" w:cryptAlgorithmType="typeAny" w:cryptAlgorithmSid="14" w:cryptSpinCount="100000" w:hash="JLFm1FvMVAcJJKIJdv0TOlZA5O+hAl7t72F3XzwtKqmO0hRk2mDFDqwfWrOLLMJQVKex2gCnaBQA4/lSJyMQEg==" w:salt="VSYHgpPTEHnohehP0H5+H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557C"/>
    <w:rsid w:val="001316C7"/>
    <w:rsid w:val="0016707C"/>
    <w:rsid w:val="00176969"/>
    <w:rsid w:val="001903D7"/>
    <w:rsid w:val="001A2189"/>
    <w:rsid w:val="001D2C71"/>
    <w:rsid w:val="001F674B"/>
    <w:rsid w:val="00200423"/>
    <w:rsid w:val="00257BEA"/>
    <w:rsid w:val="002946D9"/>
    <w:rsid w:val="002F6B64"/>
    <w:rsid w:val="0032131E"/>
    <w:rsid w:val="00355247"/>
    <w:rsid w:val="003E31A4"/>
    <w:rsid w:val="00447A00"/>
    <w:rsid w:val="00463291"/>
    <w:rsid w:val="004945D6"/>
    <w:rsid w:val="004C20B1"/>
    <w:rsid w:val="004D4D0F"/>
    <w:rsid w:val="005028D9"/>
    <w:rsid w:val="00565793"/>
    <w:rsid w:val="00585658"/>
    <w:rsid w:val="00590287"/>
    <w:rsid w:val="005B3D53"/>
    <w:rsid w:val="005E1DD9"/>
    <w:rsid w:val="005E656A"/>
    <w:rsid w:val="00605760"/>
    <w:rsid w:val="006069F9"/>
    <w:rsid w:val="0064048A"/>
    <w:rsid w:val="00641D5F"/>
    <w:rsid w:val="00665E84"/>
    <w:rsid w:val="006B6D8E"/>
    <w:rsid w:val="006C6230"/>
    <w:rsid w:val="006F6CAF"/>
    <w:rsid w:val="00731974"/>
    <w:rsid w:val="00750CDC"/>
    <w:rsid w:val="007B16CC"/>
    <w:rsid w:val="0088692B"/>
    <w:rsid w:val="008A049D"/>
    <w:rsid w:val="008E4D08"/>
    <w:rsid w:val="0094324F"/>
    <w:rsid w:val="00952F65"/>
    <w:rsid w:val="009578F2"/>
    <w:rsid w:val="0096086A"/>
    <w:rsid w:val="009B443A"/>
    <w:rsid w:val="00A06D31"/>
    <w:rsid w:val="00A40041"/>
    <w:rsid w:val="00A612D8"/>
    <w:rsid w:val="00A613E6"/>
    <w:rsid w:val="00AD4E8B"/>
    <w:rsid w:val="00AD7DD2"/>
    <w:rsid w:val="00AE054F"/>
    <w:rsid w:val="00AE135A"/>
    <w:rsid w:val="00AF463A"/>
    <w:rsid w:val="00B108A2"/>
    <w:rsid w:val="00B12C88"/>
    <w:rsid w:val="00B72AC5"/>
    <w:rsid w:val="00BB5438"/>
    <w:rsid w:val="00C01D9A"/>
    <w:rsid w:val="00C038A6"/>
    <w:rsid w:val="00CA088A"/>
    <w:rsid w:val="00CA416D"/>
    <w:rsid w:val="00CA77EF"/>
    <w:rsid w:val="00CB0010"/>
    <w:rsid w:val="00CB4769"/>
    <w:rsid w:val="00D20B88"/>
    <w:rsid w:val="00D4646C"/>
    <w:rsid w:val="00D46B79"/>
    <w:rsid w:val="00D74316"/>
    <w:rsid w:val="00D76B65"/>
    <w:rsid w:val="00DC3431"/>
    <w:rsid w:val="00DF52B0"/>
    <w:rsid w:val="00E11A5E"/>
    <w:rsid w:val="00E13702"/>
    <w:rsid w:val="00E20BC0"/>
    <w:rsid w:val="00E531F7"/>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590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4123D-B4AC-488C-8EDD-D35F3CB7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2018-08-20T19:38:00Z</dcterms:created>
  <dcterms:modified xsi:type="dcterms:W3CDTF">2018-08-20T19:38:00Z</dcterms:modified>
</cp:coreProperties>
</file>