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449E652D" w14:textId="77777777" w:rsidR="004C6BF7" w:rsidRPr="004C6BF7" w:rsidRDefault="004C6BF7" w:rsidP="004C6BF7">
            <w:pPr>
              <w:rPr>
                <w:rFonts w:cstheme="minorHAnsi"/>
                <w:sz w:val="20"/>
                <w:szCs w:val="20"/>
              </w:rPr>
            </w:pPr>
            <w:bookmarkStart w:id="1" w:name="_Hlk518035310"/>
            <w:r w:rsidRPr="004C6BF7">
              <w:rPr>
                <w:rFonts w:cstheme="minorHAnsi"/>
                <w:sz w:val="20"/>
                <w:szCs w:val="20"/>
              </w:rPr>
              <w:t xml:space="preserve">Energized Parts </w:t>
            </w:r>
          </w:p>
          <w:p w14:paraId="0B9C467E" w14:textId="77777777" w:rsidR="004C6BF7" w:rsidRPr="004C6BF7" w:rsidRDefault="004C6BF7" w:rsidP="004C6BF7">
            <w:pPr>
              <w:rPr>
                <w:rFonts w:cstheme="minorHAnsi"/>
                <w:sz w:val="20"/>
                <w:szCs w:val="20"/>
              </w:rPr>
            </w:pPr>
          </w:p>
          <w:p w14:paraId="05490CC5" w14:textId="77777777" w:rsidR="004C6BF7" w:rsidRPr="004C6BF7" w:rsidRDefault="004C6BF7" w:rsidP="004C6BF7">
            <w:pPr>
              <w:rPr>
                <w:rFonts w:cstheme="minorHAnsi"/>
                <w:sz w:val="20"/>
                <w:szCs w:val="20"/>
              </w:rPr>
            </w:pPr>
            <w:r w:rsidRPr="004C6BF7">
              <w:rPr>
                <w:rFonts w:cstheme="minorHAnsi"/>
                <w:sz w:val="20"/>
                <w:szCs w:val="20"/>
              </w:rPr>
              <w:t>On or Near/Equipment 50 - 600 Volts</w:t>
            </w:r>
          </w:p>
          <w:p w14:paraId="5E7B8F7F" w14:textId="77777777" w:rsidR="004C6BF7" w:rsidRPr="004C6BF7" w:rsidRDefault="004C6BF7" w:rsidP="004C6BF7">
            <w:pPr>
              <w:rPr>
                <w:rFonts w:cstheme="minorHAnsi"/>
                <w:sz w:val="20"/>
                <w:szCs w:val="20"/>
              </w:rPr>
            </w:pPr>
          </w:p>
          <w:p w14:paraId="453CE23D" w14:textId="77777777" w:rsidR="004C6BF7" w:rsidRPr="004C6BF7" w:rsidRDefault="004C6BF7" w:rsidP="004C6BF7">
            <w:pPr>
              <w:rPr>
                <w:rFonts w:cstheme="minorHAnsi"/>
                <w:sz w:val="20"/>
                <w:szCs w:val="20"/>
              </w:rPr>
            </w:pPr>
            <w:r w:rsidRPr="004C6BF7">
              <w:rPr>
                <w:rFonts w:cstheme="minorHAnsi"/>
                <w:sz w:val="20"/>
                <w:szCs w:val="20"/>
              </w:rPr>
              <w:t>29 CFR 1910.178(g)</w:t>
            </w:r>
          </w:p>
          <w:p w14:paraId="4BC0159A" w14:textId="77777777" w:rsidR="004C6BF7" w:rsidRPr="004C6BF7" w:rsidRDefault="004C6BF7" w:rsidP="004C6BF7">
            <w:pPr>
              <w:rPr>
                <w:rFonts w:cstheme="minorHAnsi"/>
                <w:sz w:val="20"/>
                <w:szCs w:val="20"/>
              </w:rPr>
            </w:pPr>
          </w:p>
          <w:p w14:paraId="23098DD0" w14:textId="77777777" w:rsidR="004C6BF7" w:rsidRPr="004C6BF7" w:rsidRDefault="004C6BF7" w:rsidP="004C6BF7">
            <w:pPr>
              <w:rPr>
                <w:rFonts w:cstheme="minorHAnsi"/>
                <w:sz w:val="20"/>
                <w:szCs w:val="20"/>
              </w:rPr>
            </w:pPr>
            <w:r w:rsidRPr="004C6BF7">
              <w:rPr>
                <w:rFonts w:cstheme="minorHAnsi"/>
                <w:sz w:val="20"/>
                <w:szCs w:val="20"/>
              </w:rPr>
              <w:t>NFPA 70 E</w:t>
            </w:r>
          </w:p>
          <w:p w14:paraId="4092285F" w14:textId="77777777" w:rsidR="004C6BF7" w:rsidRPr="004C6BF7" w:rsidRDefault="004C6BF7" w:rsidP="004C6BF7">
            <w:pPr>
              <w:rPr>
                <w:rFonts w:cstheme="minorHAnsi"/>
                <w:sz w:val="20"/>
                <w:szCs w:val="20"/>
              </w:rPr>
            </w:pPr>
          </w:p>
          <w:p w14:paraId="4223AD1D" w14:textId="77777777" w:rsidR="004C6BF7" w:rsidRPr="004C6BF7" w:rsidRDefault="004C6BF7" w:rsidP="004C6BF7">
            <w:pPr>
              <w:rPr>
                <w:rFonts w:cstheme="minorHAnsi"/>
                <w:sz w:val="20"/>
                <w:szCs w:val="20"/>
              </w:rPr>
            </w:pPr>
            <w:r w:rsidRPr="004C6BF7">
              <w:rPr>
                <w:rFonts w:cstheme="minorHAnsi"/>
                <w:sz w:val="20"/>
                <w:szCs w:val="20"/>
              </w:rPr>
              <w:t>ANSI C2 2012</w:t>
            </w:r>
          </w:p>
          <w:p w14:paraId="6DB4FAE3" w14:textId="77777777" w:rsidR="004C6BF7" w:rsidRPr="004C6BF7" w:rsidRDefault="004C6BF7" w:rsidP="004C6BF7">
            <w:pPr>
              <w:rPr>
                <w:rFonts w:cstheme="minorHAnsi"/>
                <w:sz w:val="20"/>
                <w:szCs w:val="20"/>
              </w:rPr>
            </w:pPr>
          </w:p>
          <w:p w14:paraId="5309CFFF" w14:textId="77777777" w:rsidR="004C6BF7" w:rsidRPr="004C6BF7" w:rsidRDefault="004C6BF7" w:rsidP="004C6BF7">
            <w:pPr>
              <w:rPr>
                <w:rFonts w:cstheme="minorHAnsi"/>
                <w:sz w:val="20"/>
                <w:szCs w:val="20"/>
              </w:rPr>
            </w:pPr>
            <w:r w:rsidRPr="004C6BF7">
              <w:rPr>
                <w:rFonts w:cstheme="minorHAnsi"/>
                <w:sz w:val="20"/>
                <w:szCs w:val="20"/>
              </w:rPr>
              <w:t>29 CFR 1910 Subpart S</w:t>
            </w:r>
          </w:p>
          <w:p w14:paraId="3A7D5B74" w14:textId="77777777" w:rsidR="004C6BF7" w:rsidRPr="004C6BF7" w:rsidRDefault="004C6BF7" w:rsidP="004C6BF7">
            <w:pPr>
              <w:rPr>
                <w:rFonts w:cstheme="minorHAnsi"/>
                <w:sz w:val="20"/>
                <w:szCs w:val="20"/>
              </w:rPr>
            </w:pPr>
          </w:p>
          <w:p w14:paraId="74796F0B" w14:textId="762A479B" w:rsidR="008E4D08" w:rsidRPr="0064048A" w:rsidRDefault="004C6BF7" w:rsidP="004C6BF7">
            <w:pPr>
              <w:rPr>
                <w:rFonts w:cstheme="minorHAnsi"/>
                <w:sz w:val="20"/>
                <w:szCs w:val="20"/>
              </w:rPr>
            </w:pPr>
            <w:r w:rsidRPr="004C6BF7">
              <w:rPr>
                <w:rFonts w:cstheme="minorHAnsi"/>
                <w:sz w:val="20"/>
                <w:szCs w:val="20"/>
              </w:rPr>
              <w:t>10 CFR 851 Appendix A, Section 10</w:t>
            </w:r>
          </w:p>
        </w:tc>
        <w:tc>
          <w:tcPr>
            <w:tcW w:w="6390" w:type="dxa"/>
          </w:tcPr>
          <w:p w14:paraId="71A5DC0C" w14:textId="4BD17F7C" w:rsidR="008E4D08" w:rsidRPr="004C20B1" w:rsidRDefault="004C6BF7" w:rsidP="004C20B1">
            <w:pPr>
              <w:rPr>
                <w:rFonts w:cstheme="minorHAnsi"/>
                <w:sz w:val="20"/>
                <w:szCs w:val="20"/>
              </w:rPr>
            </w:pPr>
            <w:r w:rsidRPr="004C6BF7">
              <w:rPr>
                <w:rFonts w:cstheme="minorHAnsi"/>
                <w:sz w:val="20"/>
                <w:szCs w:val="20"/>
              </w:rPr>
              <w:t>Prior to working on or near any energized parts, Seller shall meet the requirements in the Terms and Conditions to obtain, through the Technical Project Officer (TPO), or if there is none, the Subcontract Administrator, the advance approval of the responsible Company Level II Manager, of Seller's plans and proposed activities. The TPO has responsibility for providing the Subcontractor with approval prior to working on or near any energized part. The TPO responsibility includes ensuring a pre-job dialogue on job hazards and controls between the service subcontractor and TPO and/or Company electrical SME.</w:t>
            </w:r>
          </w:p>
        </w:tc>
        <w:tc>
          <w:tcPr>
            <w:tcW w:w="6457" w:type="dxa"/>
          </w:tcPr>
          <w:p w14:paraId="0CD32782" w14:textId="77777777" w:rsidR="004C6BF7" w:rsidRPr="004C6BF7" w:rsidRDefault="004C6BF7" w:rsidP="004C6BF7">
            <w:pPr>
              <w:rPr>
                <w:rFonts w:cstheme="minorHAnsi"/>
                <w:sz w:val="20"/>
                <w:szCs w:val="20"/>
              </w:rPr>
            </w:pPr>
            <w:r w:rsidRPr="004C6BF7">
              <w:rPr>
                <w:rFonts w:cstheme="minorHAnsi"/>
                <w:sz w:val="20"/>
                <w:szCs w:val="20"/>
              </w:rPr>
              <w:t>Workers shall ensure when working on or near energized parts (parts that operate at 50 or more volts to ground, or contain 5 or more Joules of stored electrical energy), the Seller shall obtain, through the Technical Project Officer, or if there is none, the Procurement Officer, the advance approval of the responsible Company Level II Manager, of the Seller’s plans and proposed activities. The Seller must allow in its scheduling for a reasonable amount of time to obtain said approval and ORNL shall not be responsible for any resulting delay, so long as ORNL’s actions were reasonable. Seller is responsible, at no additional cost to ORNL, to provide qualified personnel and compliant personal protective equipment.</w:t>
            </w:r>
          </w:p>
          <w:p w14:paraId="1B9F5536" w14:textId="77777777" w:rsidR="004C6BF7" w:rsidRPr="004C6BF7" w:rsidRDefault="004C6BF7" w:rsidP="004C6BF7">
            <w:pPr>
              <w:rPr>
                <w:rFonts w:cstheme="minorHAnsi"/>
                <w:sz w:val="20"/>
                <w:szCs w:val="20"/>
              </w:rPr>
            </w:pPr>
          </w:p>
          <w:p w14:paraId="7533B543" w14:textId="4A94A7D2" w:rsidR="008E4D08" w:rsidRPr="0064048A" w:rsidRDefault="004C6BF7" w:rsidP="004C6BF7">
            <w:pPr>
              <w:rPr>
                <w:rFonts w:cstheme="minorHAnsi"/>
                <w:sz w:val="20"/>
                <w:szCs w:val="20"/>
              </w:rPr>
            </w:pPr>
            <w:r w:rsidRPr="004C6BF7">
              <w:rPr>
                <w:rFonts w:cstheme="minorHAnsi"/>
                <w:sz w:val="20"/>
                <w:szCs w:val="20"/>
              </w:rPr>
              <w:t>The ORNL Issuing Authority responsibility includes ensuring a documented pre-job briefing on job hazards and controls between the service subcontractor/vendor and the Company.</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116696">
              <w:rPr>
                <w:sz w:val="20"/>
                <w:szCs w:val="20"/>
              </w:rPr>
            </w:r>
            <w:r w:rsidR="00116696">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116696">
              <w:rPr>
                <w:sz w:val="20"/>
                <w:szCs w:val="20"/>
              </w:rPr>
            </w:r>
            <w:r w:rsidR="00116696">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116696">
              <w:rPr>
                <w:sz w:val="20"/>
                <w:szCs w:val="20"/>
              </w:rPr>
            </w:r>
            <w:r w:rsidR="00116696">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116696">
              <w:rPr>
                <w:sz w:val="20"/>
                <w:szCs w:val="20"/>
              </w:rPr>
            </w:r>
            <w:r w:rsidR="00116696">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116696">
              <w:rPr>
                <w:sz w:val="20"/>
                <w:szCs w:val="20"/>
              </w:rPr>
            </w:r>
            <w:r w:rsidR="00116696">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116696">
              <w:rPr>
                <w:sz w:val="20"/>
                <w:szCs w:val="20"/>
              </w:rPr>
            </w:r>
            <w:r w:rsidR="00116696">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116696">
              <w:rPr>
                <w:sz w:val="20"/>
                <w:szCs w:val="20"/>
              </w:rPr>
            </w:r>
            <w:r w:rsidR="00116696">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116696">
              <w:rPr>
                <w:sz w:val="20"/>
                <w:szCs w:val="20"/>
              </w:rPr>
            </w:r>
            <w:r w:rsidR="00116696">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116696">
              <w:rPr>
                <w:sz w:val="20"/>
                <w:szCs w:val="20"/>
              </w:rPr>
            </w:r>
            <w:r w:rsidR="00116696">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4179C79B" w14:textId="77777777" w:rsidR="00116696" w:rsidRDefault="00116696" w:rsidP="00075CB9">
      <w:pPr>
        <w:tabs>
          <w:tab w:val="left" w:pos="4320"/>
          <w:tab w:val="left" w:pos="6637"/>
        </w:tabs>
      </w:pPr>
    </w:p>
    <w:p w14:paraId="7307DFF0" w14:textId="687A9382"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848CCCE" w14:textId="77777777" w:rsidR="00116696" w:rsidRDefault="00116696" w:rsidP="00116696">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116696" w:rsidRPr="00CF52BC" w14:paraId="7082E43B" w14:textId="77777777" w:rsidTr="00656044">
        <w:tc>
          <w:tcPr>
            <w:tcW w:w="14966" w:type="dxa"/>
            <w:tcBorders>
              <w:top w:val="single" w:sz="18" w:space="0" w:color="auto"/>
              <w:left w:val="single" w:sz="18" w:space="0" w:color="auto"/>
              <w:bottom w:val="single" w:sz="18" w:space="0" w:color="auto"/>
              <w:right w:val="single" w:sz="18" w:space="0" w:color="auto"/>
            </w:tcBorders>
          </w:tcPr>
          <w:p w14:paraId="4BE5EF0D" w14:textId="77777777" w:rsidR="00116696" w:rsidRDefault="00116696"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4F1094FF" w14:textId="77777777" w:rsidR="00116696" w:rsidRPr="00CF52BC" w:rsidRDefault="00116696" w:rsidP="00656044">
            <w:pPr>
              <w:widowControl w:val="0"/>
              <w:kinsoku w:val="0"/>
              <w:overflowPunct w:val="0"/>
              <w:autoSpaceDE w:val="0"/>
              <w:autoSpaceDN w:val="0"/>
              <w:adjustRightInd w:val="0"/>
              <w:rPr>
                <w:rFonts w:eastAsia="Times New Roman" w:cstheme="minorHAnsi"/>
                <w:sz w:val="24"/>
                <w:szCs w:val="24"/>
              </w:rPr>
            </w:pPr>
          </w:p>
          <w:p w14:paraId="4A30DB38" w14:textId="77777777" w:rsidR="00116696" w:rsidRPr="00CF52BC" w:rsidRDefault="00116696" w:rsidP="00656044">
            <w:pPr>
              <w:widowControl w:val="0"/>
              <w:kinsoku w:val="0"/>
              <w:overflowPunct w:val="0"/>
              <w:autoSpaceDE w:val="0"/>
              <w:autoSpaceDN w:val="0"/>
              <w:adjustRightInd w:val="0"/>
              <w:rPr>
                <w:rFonts w:eastAsia="Times New Roman" w:cstheme="minorHAnsi"/>
                <w:sz w:val="24"/>
                <w:szCs w:val="24"/>
              </w:rPr>
            </w:pPr>
          </w:p>
          <w:p w14:paraId="4F56D25A" w14:textId="77777777" w:rsidR="00116696" w:rsidRPr="00CF52BC" w:rsidRDefault="00116696"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50D0ACD2" w14:textId="77777777" w:rsidR="00116696" w:rsidRPr="00CF52BC" w:rsidRDefault="00116696"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77EB55EE" w:rsidR="00116696" w:rsidRDefault="004D4D0F" w:rsidP="004D4D0F">
      <w:pPr>
        <w:tabs>
          <w:tab w:val="left" w:pos="13932"/>
        </w:tabs>
      </w:pPr>
      <w:r>
        <w:tab/>
      </w:r>
    </w:p>
    <w:p w14:paraId="2EC61E46" w14:textId="77777777" w:rsidR="00116696" w:rsidRPr="00116696" w:rsidRDefault="00116696" w:rsidP="00116696"/>
    <w:p w14:paraId="482134E6" w14:textId="77777777" w:rsidR="00116696" w:rsidRPr="00116696" w:rsidRDefault="00116696" w:rsidP="00116696"/>
    <w:p w14:paraId="71EAEAC8" w14:textId="77777777" w:rsidR="00116696" w:rsidRPr="00116696" w:rsidRDefault="00116696" w:rsidP="00116696"/>
    <w:p w14:paraId="5118584E" w14:textId="77777777" w:rsidR="00116696" w:rsidRPr="00116696" w:rsidRDefault="00116696" w:rsidP="00116696"/>
    <w:p w14:paraId="66B9910F" w14:textId="77777777" w:rsidR="00116696" w:rsidRPr="00116696" w:rsidRDefault="00116696" w:rsidP="00116696"/>
    <w:p w14:paraId="0582659E" w14:textId="77777777" w:rsidR="00116696" w:rsidRPr="00116696" w:rsidRDefault="00116696" w:rsidP="00116696"/>
    <w:p w14:paraId="501ED57A" w14:textId="77777777" w:rsidR="00116696" w:rsidRPr="00116696" w:rsidRDefault="00116696" w:rsidP="00116696"/>
    <w:p w14:paraId="2DC46C76" w14:textId="77777777" w:rsidR="00116696" w:rsidRPr="00116696" w:rsidRDefault="00116696" w:rsidP="00116696"/>
    <w:p w14:paraId="01730750" w14:textId="77777777" w:rsidR="00116696" w:rsidRPr="00116696" w:rsidRDefault="00116696" w:rsidP="00116696"/>
    <w:p w14:paraId="66786602" w14:textId="77777777" w:rsidR="00116696" w:rsidRPr="00116696" w:rsidRDefault="00116696" w:rsidP="00116696"/>
    <w:p w14:paraId="1A4C7663" w14:textId="33EE5A4B" w:rsidR="00AD7DD2" w:rsidRPr="00116696" w:rsidRDefault="00116696" w:rsidP="00116696">
      <w:pPr>
        <w:tabs>
          <w:tab w:val="left" w:pos="1616"/>
        </w:tabs>
      </w:pPr>
      <w:r>
        <w:tab/>
      </w:r>
    </w:p>
    <w:sectPr w:rsidR="00AD7DD2" w:rsidRPr="00116696"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3F123729" w:rsidR="006069F9" w:rsidRDefault="006069F9" w:rsidP="006069F9">
            <w:pPr>
              <w:pStyle w:val="Footer"/>
            </w:pPr>
            <w:r>
              <w:t>Rev. 0, Date:  08/</w:t>
            </w:r>
            <w:r w:rsidR="00116696">
              <w:t>20</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QhRZaUlsMUUr0zK1jU1cf6cg06QAKy+TuIBNrOVbf3eXE4ys8ywKuRBGi46K4X2uOLYqt/ZimU42zbpJx7mxTg==" w:salt="iuDW6eBCb8yuh1HAbA6lY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16696"/>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C6BF7"/>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11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A938-9174-4829-B2B1-3069867D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2018-08-20T19:24:00Z</dcterms:created>
  <dcterms:modified xsi:type="dcterms:W3CDTF">2018-08-20T19:24:00Z</dcterms:modified>
</cp:coreProperties>
</file>