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FA45BE2" w14:textId="77777777" w:rsidR="006239B1" w:rsidRPr="006239B1" w:rsidRDefault="006239B1" w:rsidP="006239B1">
            <w:pPr>
              <w:rPr>
                <w:rFonts w:cstheme="minorHAnsi"/>
                <w:sz w:val="20"/>
                <w:szCs w:val="20"/>
              </w:rPr>
            </w:pPr>
            <w:bookmarkStart w:id="1" w:name="_Hlk518035310"/>
            <w:r w:rsidRPr="006239B1">
              <w:rPr>
                <w:rFonts w:cstheme="minorHAnsi"/>
                <w:sz w:val="20"/>
                <w:szCs w:val="20"/>
              </w:rPr>
              <w:t>Firearms</w:t>
            </w:r>
          </w:p>
          <w:p w14:paraId="5F65F28C" w14:textId="77777777" w:rsidR="006239B1" w:rsidRPr="006239B1" w:rsidRDefault="006239B1" w:rsidP="006239B1">
            <w:pPr>
              <w:rPr>
                <w:rFonts w:cstheme="minorHAnsi"/>
                <w:sz w:val="20"/>
                <w:szCs w:val="20"/>
              </w:rPr>
            </w:pPr>
          </w:p>
          <w:p w14:paraId="6516D207" w14:textId="77777777" w:rsidR="006239B1" w:rsidRPr="006239B1" w:rsidRDefault="006239B1" w:rsidP="006239B1">
            <w:pPr>
              <w:rPr>
                <w:rFonts w:cstheme="minorHAnsi"/>
                <w:sz w:val="20"/>
                <w:szCs w:val="20"/>
              </w:rPr>
            </w:pPr>
          </w:p>
          <w:p w14:paraId="74796F0B" w14:textId="37844955" w:rsidR="008E4D08" w:rsidRPr="0064048A" w:rsidRDefault="006239B1" w:rsidP="006239B1">
            <w:pPr>
              <w:rPr>
                <w:rFonts w:cstheme="minorHAnsi"/>
                <w:sz w:val="20"/>
                <w:szCs w:val="20"/>
              </w:rPr>
            </w:pPr>
            <w:r w:rsidRPr="006239B1">
              <w:rPr>
                <w:rFonts w:cstheme="minorHAnsi"/>
                <w:sz w:val="20"/>
                <w:szCs w:val="20"/>
              </w:rPr>
              <w:t>10 CFR 851</w:t>
            </w:r>
          </w:p>
        </w:tc>
        <w:tc>
          <w:tcPr>
            <w:tcW w:w="6390" w:type="dxa"/>
          </w:tcPr>
          <w:p w14:paraId="71A5DC0C" w14:textId="5AA1D41C" w:rsidR="008E4D08" w:rsidRPr="004C20B1" w:rsidRDefault="006239B1" w:rsidP="004C20B1">
            <w:pPr>
              <w:rPr>
                <w:rFonts w:cstheme="minorHAnsi"/>
                <w:sz w:val="20"/>
                <w:szCs w:val="20"/>
              </w:rPr>
            </w:pPr>
            <w:r w:rsidRPr="006239B1">
              <w:rPr>
                <w:rFonts w:cstheme="minorHAnsi"/>
                <w:sz w:val="20"/>
                <w:szCs w:val="20"/>
              </w:rPr>
              <w:t>Prior to the commencement of any on-site work, any proposed use of a firearm by a vendor, technical rep., or other non-employee on the ORNL site (includes any part of the DOE Oak Ridge Reservation controlled by ORNL) shall be coordinated by the Technical Project Officer and reviewed and approved by ORNL Safeguards and Security Group. Additionally, the receipt, transport and use of munitions/explosives on the ORNL site will require the execution of form ORNL-153, Explosives Request Authorization. The Seller shall obtain this form from the ORNL Technical Project Officer. Note: Work may not begin until this form is completed, approved, and distributed (as indicated by the form).</w:t>
            </w:r>
          </w:p>
        </w:tc>
        <w:tc>
          <w:tcPr>
            <w:tcW w:w="6457" w:type="dxa"/>
          </w:tcPr>
          <w:p w14:paraId="6DF12D6E" w14:textId="1D10EAE3" w:rsidR="006239B1" w:rsidRPr="006239B1" w:rsidRDefault="006239B1" w:rsidP="006239B1">
            <w:pPr>
              <w:rPr>
                <w:rFonts w:cstheme="minorHAnsi"/>
                <w:sz w:val="20"/>
                <w:szCs w:val="20"/>
              </w:rPr>
            </w:pPr>
            <w:r w:rsidRPr="006239B1">
              <w:rPr>
                <w:rFonts w:cstheme="minorHAnsi"/>
                <w:sz w:val="20"/>
                <w:szCs w:val="20"/>
              </w:rPr>
              <w:t xml:space="preserve">Workers shall use, store, transport and maintain explosives in accordance with the approved Form ORNL-153.  Any deviations or changes shall be approved by the </w:t>
            </w:r>
            <w:r>
              <w:rPr>
                <w:rFonts w:cstheme="minorHAnsi"/>
                <w:sz w:val="20"/>
                <w:szCs w:val="20"/>
              </w:rPr>
              <w:t xml:space="preserve">UT-Battelle </w:t>
            </w:r>
            <w:r w:rsidRPr="006239B1">
              <w:rPr>
                <w:rFonts w:cstheme="minorHAnsi"/>
                <w:sz w:val="20"/>
                <w:szCs w:val="20"/>
              </w:rPr>
              <w:t>Firearms Safety Program Manager in advance prior to starting any on-site work to include shipping, transport, storage or use of firearms.</w:t>
            </w:r>
          </w:p>
          <w:p w14:paraId="5868B804" w14:textId="77777777" w:rsidR="006239B1" w:rsidRPr="006239B1" w:rsidRDefault="006239B1" w:rsidP="006239B1">
            <w:pPr>
              <w:rPr>
                <w:rFonts w:cstheme="minorHAnsi"/>
                <w:sz w:val="20"/>
                <w:szCs w:val="20"/>
              </w:rPr>
            </w:pPr>
          </w:p>
          <w:p w14:paraId="44685063" w14:textId="20CABF12" w:rsidR="006239B1" w:rsidRPr="006239B1" w:rsidRDefault="006239B1" w:rsidP="006239B1">
            <w:pPr>
              <w:rPr>
                <w:rFonts w:cstheme="minorHAnsi"/>
                <w:sz w:val="20"/>
                <w:szCs w:val="20"/>
              </w:rPr>
            </w:pPr>
            <w:r w:rsidRPr="006239B1">
              <w:rPr>
                <w:rFonts w:cstheme="minorHAnsi"/>
                <w:sz w:val="20"/>
                <w:szCs w:val="20"/>
              </w:rPr>
              <w:t>Workers shall ensure Form ORNL-153 from the Technical Project Officer was completed by its employer.</w:t>
            </w:r>
          </w:p>
          <w:p w14:paraId="12CB1F6C" w14:textId="77777777" w:rsidR="006239B1" w:rsidRDefault="006239B1" w:rsidP="006239B1">
            <w:pPr>
              <w:rPr>
                <w:rFonts w:cstheme="minorHAnsi"/>
                <w:sz w:val="20"/>
                <w:szCs w:val="20"/>
              </w:rPr>
            </w:pPr>
          </w:p>
          <w:p w14:paraId="79F72A53" w14:textId="526549C0" w:rsidR="006239B1" w:rsidRPr="006239B1" w:rsidRDefault="006239B1" w:rsidP="006239B1">
            <w:pPr>
              <w:rPr>
                <w:rFonts w:cstheme="minorHAnsi"/>
                <w:sz w:val="20"/>
                <w:szCs w:val="20"/>
              </w:rPr>
            </w:pPr>
            <w:r w:rsidRPr="006239B1">
              <w:rPr>
                <w:rFonts w:cstheme="minorHAnsi"/>
                <w:sz w:val="20"/>
                <w:szCs w:val="20"/>
              </w:rPr>
              <w:t>Training documentation shall be provided to the Technical Project Officer (TPO) prior to starting any work.  The Seller is responsible for its employees training.</w:t>
            </w:r>
          </w:p>
          <w:p w14:paraId="1A1F99EE" w14:textId="77777777" w:rsidR="006239B1" w:rsidRPr="006239B1" w:rsidRDefault="006239B1" w:rsidP="006239B1">
            <w:pPr>
              <w:rPr>
                <w:rFonts w:cstheme="minorHAnsi"/>
                <w:sz w:val="20"/>
                <w:szCs w:val="20"/>
              </w:rPr>
            </w:pPr>
          </w:p>
          <w:p w14:paraId="496108F7" w14:textId="419E4C8F" w:rsidR="006239B1" w:rsidRPr="006239B1" w:rsidRDefault="006239B1" w:rsidP="006239B1">
            <w:pPr>
              <w:rPr>
                <w:rFonts w:cstheme="minorHAnsi"/>
                <w:sz w:val="20"/>
                <w:szCs w:val="20"/>
              </w:rPr>
            </w:pPr>
            <w:r w:rsidRPr="006239B1">
              <w:rPr>
                <w:rFonts w:cstheme="minorHAnsi"/>
                <w:sz w:val="20"/>
                <w:szCs w:val="20"/>
              </w:rPr>
              <w:t>The Seller engaged in DOE activities involving the use of firearms must establish firearms safety policies and procedures for security operations, and training to ensure proper accident prevention controls are in place.</w:t>
            </w:r>
          </w:p>
          <w:p w14:paraId="2AA1CCD7" w14:textId="77777777" w:rsidR="006239B1" w:rsidRPr="006239B1" w:rsidRDefault="006239B1" w:rsidP="006239B1">
            <w:pPr>
              <w:rPr>
                <w:rFonts w:cstheme="minorHAnsi"/>
                <w:sz w:val="20"/>
                <w:szCs w:val="20"/>
              </w:rPr>
            </w:pPr>
          </w:p>
          <w:p w14:paraId="1C3C172B" w14:textId="393F8069" w:rsidR="006239B1" w:rsidRPr="006239B1" w:rsidRDefault="006239B1" w:rsidP="006239B1">
            <w:pPr>
              <w:rPr>
                <w:rFonts w:cstheme="minorHAnsi"/>
                <w:sz w:val="20"/>
                <w:szCs w:val="20"/>
              </w:rPr>
            </w:pPr>
            <w:r w:rsidRPr="006239B1">
              <w:rPr>
                <w:rFonts w:cstheme="minorHAnsi"/>
                <w:sz w:val="20"/>
                <w:szCs w:val="20"/>
              </w:rPr>
              <w:t>The Seller must address firearms safety, engineering and administrative controls, as well as personal protective equipment requirements in their written procedures.</w:t>
            </w:r>
          </w:p>
          <w:p w14:paraId="485195E7" w14:textId="77777777" w:rsidR="006239B1" w:rsidRPr="006239B1" w:rsidRDefault="006239B1" w:rsidP="006239B1">
            <w:pPr>
              <w:rPr>
                <w:rFonts w:cstheme="minorHAnsi"/>
                <w:sz w:val="20"/>
                <w:szCs w:val="20"/>
              </w:rPr>
            </w:pPr>
          </w:p>
          <w:p w14:paraId="65DCC27C" w14:textId="74D40DCE" w:rsidR="008E4D08" w:rsidRDefault="006239B1" w:rsidP="006239B1">
            <w:pPr>
              <w:rPr>
                <w:rFonts w:cstheme="minorHAnsi"/>
                <w:sz w:val="20"/>
                <w:szCs w:val="20"/>
              </w:rPr>
            </w:pPr>
            <w:r w:rsidRPr="006239B1">
              <w:rPr>
                <w:rFonts w:cstheme="minorHAnsi"/>
                <w:sz w:val="20"/>
                <w:szCs w:val="20"/>
              </w:rPr>
              <w:t>The Seller shall ensure that the transportation, handling, placarding, and storage of munitions conform to the applicable DOE requirements.</w:t>
            </w:r>
          </w:p>
          <w:p w14:paraId="55760760" w14:textId="77777777" w:rsidR="006239B1" w:rsidRDefault="006239B1" w:rsidP="006239B1">
            <w:pPr>
              <w:rPr>
                <w:rFonts w:cstheme="minorHAnsi"/>
                <w:sz w:val="20"/>
                <w:szCs w:val="20"/>
              </w:rPr>
            </w:pPr>
          </w:p>
          <w:p w14:paraId="7533B543" w14:textId="1D4DF236" w:rsidR="006239B1" w:rsidRPr="0064048A" w:rsidRDefault="006239B1" w:rsidP="006239B1">
            <w:pPr>
              <w:rPr>
                <w:rFonts w:cstheme="minorHAnsi"/>
                <w:sz w:val="20"/>
                <w:szCs w:val="20"/>
              </w:rPr>
            </w:pPr>
            <w:r w:rsidRPr="006239B1">
              <w:rPr>
                <w:rFonts w:cstheme="minorHAnsi"/>
                <w:sz w:val="20"/>
                <w:szCs w:val="20"/>
              </w:rPr>
              <w:t>Note:  Work may NOT begin until Form ORNL-153 is completed, approved, and distributed (as indicated on the form.)</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271ED">
              <w:rPr>
                <w:sz w:val="20"/>
                <w:szCs w:val="20"/>
              </w:rPr>
            </w:r>
            <w:r w:rsidR="00C271ED">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lastRenderedPageBreak/>
              <w:fldChar w:fldCharType="begin">
                <w:ffData>
                  <w:name w:val="Check1"/>
                  <w:enabled/>
                  <w:calcOnExit w:val="0"/>
                  <w:checkBox>
                    <w:sizeAuto/>
                    <w:default w:val="0"/>
                  </w:checkBox>
                </w:ffData>
              </w:fldChar>
            </w:r>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271ED">
              <w:rPr>
                <w:sz w:val="20"/>
                <w:szCs w:val="20"/>
              </w:rPr>
            </w:r>
            <w:r w:rsidR="00C271ED">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271ED">
              <w:rPr>
                <w:sz w:val="20"/>
                <w:szCs w:val="20"/>
              </w:rPr>
            </w:r>
            <w:r w:rsidR="00C271ED">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271ED">
              <w:rPr>
                <w:sz w:val="20"/>
                <w:szCs w:val="20"/>
              </w:rPr>
            </w:r>
            <w:r w:rsidR="00C271ED">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2603777D" w14:textId="77777777" w:rsidR="001F51AD" w:rsidRPr="009961D2" w:rsidRDefault="001F51AD" w:rsidP="001F51AD">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1F51AD" w:rsidRPr="009961D2" w14:paraId="215A8CFE" w14:textId="77777777" w:rsidTr="00656044">
        <w:tc>
          <w:tcPr>
            <w:tcW w:w="14966" w:type="dxa"/>
            <w:tcBorders>
              <w:top w:val="single" w:sz="18" w:space="0" w:color="auto"/>
              <w:left w:val="single" w:sz="18" w:space="0" w:color="auto"/>
              <w:bottom w:val="single" w:sz="18" w:space="0" w:color="auto"/>
              <w:right w:val="single" w:sz="18" w:space="0" w:color="auto"/>
            </w:tcBorders>
          </w:tcPr>
          <w:p w14:paraId="6E0BB13A" w14:textId="02D25C7F" w:rsidR="001F51AD" w:rsidRDefault="001F51AD"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 xml:space="preserve">Technical Procurement Officer (TPO) signature indicates approval of activity-specific hazard controls identified in the subcontractor AHA. </w:t>
            </w:r>
          </w:p>
          <w:p w14:paraId="5B331C5F" w14:textId="77777777" w:rsidR="001F51AD" w:rsidRPr="009961D2" w:rsidRDefault="001F51AD" w:rsidP="00656044">
            <w:pPr>
              <w:widowControl w:val="0"/>
              <w:kinsoku w:val="0"/>
              <w:overflowPunct w:val="0"/>
              <w:autoSpaceDE w:val="0"/>
              <w:autoSpaceDN w:val="0"/>
              <w:adjustRightInd w:val="0"/>
              <w:rPr>
                <w:rFonts w:eastAsia="Times New Roman" w:cstheme="minorHAnsi"/>
                <w:sz w:val="24"/>
                <w:szCs w:val="24"/>
              </w:rPr>
            </w:pPr>
          </w:p>
          <w:p w14:paraId="519AEE76" w14:textId="77777777" w:rsidR="001F51AD" w:rsidRPr="009961D2" w:rsidRDefault="001F51AD" w:rsidP="00656044">
            <w:pPr>
              <w:widowControl w:val="0"/>
              <w:kinsoku w:val="0"/>
              <w:overflowPunct w:val="0"/>
              <w:autoSpaceDE w:val="0"/>
              <w:autoSpaceDN w:val="0"/>
              <w:adjustRightInd w:val="0"/>
              <w:rPr>
                <w:rFonts w:eastAsia="Times New Roman" w:cstheme="minorHAnsi"/>
                <w:sz w:val="24"/>
                <w:szCs w:val="24"/>
              </w:rPr>
            </w:pPr>
          </w:p>
          <w:p w14:paraId="3FBB1064" w14:textId="77777777" w:rsidR="001F51AD" w:rsidRPr="009961D2" w:rsidRDefault="001F51AD" w:rsidP="00656044">
            <w:pPr>
              <w:widowControl w:val="0"/>
              <w:kinsoku w:val="0"/>
              <w:overflowPunct w:val="0"/>
              <w:autoSpaceDE w:val="0"/>
              <w:autoSpaceDN w:val="0"/>
              <w:adjustRightInd w:val="0"/>
              <w:rPr>
                <w:rFonts w:eastAsia="Times New Roman" w:cstheme="minorHAnsi"/>
                <w:sz w:val="24"/>
                <w:szCs w:val="24"/>
              </w:rPr>
            </w:pPr>
          </w:p>
          <w:p w14:paraId="067098E9" w14:textId="77777777" w:rsidR="001F51AD" w:rsidRPr="009961D2" w:rsidRDefault="001F51AD"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28A6C82F" w14:textId="77777777" w:rsidR="001F51AD" w:rsidRPr="009961D2" w:rsidRDefault="001F51AD"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01566C89" w14:textId="77777777" w:rsidR="001F51AD" w:rsidRPr="004D4D0F" w:rsidRDefault="001F51AD" w:rsidP="004D4D0F"/>
    <w:p w14:paraId="51188FB3" w14:textId="52D4571B" w:rsidR="001F51AD" w:rsidRDefault="004D4D0F" w:rsidP="004D4D0F">
      <w:pPr>
        <w:tabs>
          <w:tab w:val="left" w:pos="13932"/>
        </w:tabs>
      </w:pPr>
      <w:r>
        <w:tab/>
      </w:r>
    </w:p>
    <w:p w14:paraId="005A9BF6" w14:textId="77777777" w:rsidR="001F51AD" w:rsidRPr="001F51AD" w:rsidRDefault="001F51AD" w:rsidP="001F51AD"/>
    <w:p w14:paraId="294C25B2" w14:textId="77777777" w:rsidR="001F51AD" w:rsidRPr="001F51AD" w:rsidRDefault="001F51AD" w:rsidP="001F51AD"/>
    <w:p w14:paraId="10D3D714" w14:textId="77777777" w:rsidR="001F51AD" w:rsidRPr="001F51AD" w:rsidRDefault="001F51AD" w:rsidP="001F51AD"/>
    <w:p w14:paraId="371E9B8C" w14:textId="29EEDF6D" w:rsidR="00AD7DD2" w:rsidRPr="001F51AD" w:rsidRDefault="001F51AD" w:rsidP="001F51AD">
      <w:pPr>
        <w:tabs>
          <w:tab w:val="left" w:pos="1572"/>
        </w:tabs>
      </w:pPr>
      <w:r>
        <w:tab/>
      </w:r>
    </w:p>
    <w:sectPr w:rsidR="00AD7DD2" w:rsidRPr="001F51AD"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B7DD995" w:rsidR="006069F9" w:rsidRDefault="006069F9" w:rsidP="006069F9">
            <w:pPr>
              <w:pStyle w:val="Footer"/>
            </w:pPr>
            <w:r>
              <w:t>Rev. 0, Date:  08/</w:t>
            </w:r>
            <w:r w:rsidR="001F51AD">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xos6W89Kc5tmtX1YYseSOGWUk1a7Y9Cnw0XsPQRpSJQSwDqObNigrVNFW77vK1ZR5waBdMiVUHV3ZcLXf0wPw==" w:salt="KCy16+G3gWHpnjDC74BeI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51AD"/>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239B1"/>
    <w:rsid w:val="0064048A"/>
    <w:rsid w:val="00641D5F"/>
    <w:rsid w:val="00665E84"/>
    <w:rsid w:val="006B6D8E"/>
    <w:rsid w:val="006C6230"/>
    <w:rsid w:val="006F6CAF"/>
    <w:rsid w:val="00731974"/>
    <w:rsid w:val="00750CDC"/>
    <w:rsid w:val="007B16CC"/>
    <w:rsid w:val="00837C9B"/>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271ED"/>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1F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2666-7521-47D5-BEE3-94F0D645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2018-08-21T16:19:00Z</dcterms:created>
  <dcterms:modified xsi:type="dcterms:W3CDTF">2018-08-21T16:19:00Z</dcterms:modified>
</cp:coreProperties>
</file>