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866D" w14:textId="77777777" w:rsidR="009A22BE" w:rsidRPr="009A22BE" w:rsidRDefault="009A22BE" w:rsidP="00CA77EF">
      <w:pPr>
        <w:tabs>
          <w:tab w:val="left" w:pos="5040"/>
        </w:tabs>
        <w:rPr>
          <w:sz w:val="2"/>
          <w:szCs w:val="2"/>
        </w:rPr>
      </w:pPr>
    </w:p>
    <w:p w14:paraId="7D6048AC" w14:textId="77777777" w:rsidR="000D02F6" w:rsidRDefault="000D02F6" w:rsidP="009A22BE">
      <w:pPr>
        <w:tabs>
          <w:tab w:val="left" w:pos="3840"/>
          <w:tab w:val="left" w:pos="5040"/>
        </w:tabs>
      </w:pPr>
    </w:p>
    <w:p w14:paraId="32A1EE4C" w14:textId="2097DF5A" w:rsidR="005E1DD9" w:rsidRDefault="00B72AC5" w:rsidP="009A22BE">
      <w:pPr>
        <w:tabs>
          <w:tab w:val="left" w:pos="3840"/>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9A22BE">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185C555" w:rsidR="00B72AC5" w:rsidRDefault="00B72AC5" w:rsidP="008E4D08">
      <w:pPr>
        <w:pStyle w:val="NoSpacing"/>
        <w:rPr>
          <w:sz w:val="6"/>
          <w:szCs w:val="6"/>
        </w:rPr>
      </w:pPr>
    </w:p>
    <w:p w14:paraId="33F03116" w14:textId="77777777" w:rsidR="000D02F6" w:rsidRPr="00441922" w:rsidRDefault="000D02F6" w:rsidP="008E4D08">
      <w:pPr>
        <w:pStyle w:val="NoSpacing"/>
        <w:rPr>
          <w:sz w:val="6"/>
          <w:szCs w:val="6"/>
        </w:rPr>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7F1E59FD" w:rsidR="00041456" w:rsidRDefault="00041456" w:rsidP="009A22BE">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21336FCF" w14:textId="77777777" w:rsidR="00041456" w:rsidRDefault="00E551E9" w:rsidP="00CC7C0A">
            <w:pPr>
              <w:rPr>
                <w:rFonts w:cstheme="minorHAnsi"/>
                <w:sz w:val="20"/>
                <w:szCs w:val="20"/>
              </w:rPr>
            </w:pPr>
            <w:bookmarkStart w:id="0" w:name="_Hlk518035310"/>
            <w:r>
              <w:rPr>
                <w:rFonts w:cstheme="minorHAnsi"/>
                <w:sz w:val="20"/>
                <w:szCs w:val="20"/>
              </w:rPr>
              <w:t>Lockout/Tagout</w:t>
            </w:r>
          </w:p>
          <w:p w14:paraId="07EA709C" w14:textId="77777777" w:rsidR="00E551E9" w:rsidRDefault="00E551E9" w:rsidP="00CC7C0A">
            <w:pPr>
              <w:rPr>
                <w:rFonts w:cstheme="minorHAnsi"/>
                <w:sz w:val="20"/>
                <w:szCs w:val="20"/>
              </w:rPr>
            </w:pPr>
            <w:r>
              <w:rPr>
                <w:rFonts w:cstheme="minorHAnsi"/>
                <w:sz w:val="20"/>
                <w:szCs w:val="20"/>
              </w:rPr>
              <w:t>(LO/TO)</w:t>
            </w:r>
          </w:p>
          <w:p w14:paraId="0305E48A" w14:textId="77777777" w:rsidR="00510D06" w:rsidRDefault="00510D06" w:rsidP="00CC7C0A">
            <w:pPr>
              <w:rPr>
                <w:rFonts w:cstheme="minorHAnsi"/>
                <w:sz w:val="20"/>
                <w:szCs w:val="20"/>
              </w:rPr>
            </w:pPr>
          </w:p>
          <w:p w14:paraId="74796F0B" w14:textId="5CBA8BAB" w:rsidR="00E551E9" w:rsidRPr="0064048A" w:rsidRDefault="00E551E9" w:rsidP="00CC7C0A">
            <w:pPr>
              <w:rPr>
                <w:rFonts w:cstheme="minorHAnsi"/>
                <w:sz w:val="20"/>
                <w:szCs w:val="20"/>
              </w:rPr>
            </w:pPr>
            <w:r w:rsidRPr="00E551E9">
              <w:rPr>
                <w:rFonts w:cstheme="minorHAnsi"/>
                <w:sz w:val="20"/>
                <w:szCs w:val="20"/>
              </w:rPr>
              <w:t>29 CFR 1910.147, 1910.269, 1910.333 and NFPA 70E</w:t>
            </w:r>
            <w:r w:rsidR="00510D06">
              <w:rPr>
                <w:rFonts w:cstheme="minorHAnsi"/>
                <w:sz w:val="20"/>
                <w:szCs w:val="20"/>
              </w:rPr>
              <w:t>, 2015 Edition</w:t>
            </w:r>
          </w:p>
        </w:tc>
        <w:tc>
          <w:tcPr>
            <w:tcW w:w="12847" w:type="dxa"/>
          </w:tcPr>
          <w:p w14:paraId="137807BE" w14:textId="1CFE16DC" w:rsidR="00E551E9" w:rsidRDefault="00E551E9" w:rsidP="00CC7C0A">
            <w:pPr>
              <w:rPr>
                <w:rFonts w:cstheme="minorHAnsi"/>
                <w:sz w:val="20"/>
                <w:szCs w:val="20"/>
              </w:rPr>
            </w:pPr>
            <w:r w:rsidRPr="00E551E9">
              <w:rPr>
                <w:rFonts w:cstheme="minorHAnsi"/>
                <w:sz w:val="20"/>
                <w:szCs w:val="20"/>
              </w:rPr>
              <w:t xml:space="preserve">Control of hazardous energy sources that require lockout/tagout will be managed (i.e., identified, assessed, and controlled) by the </w:t>
            </w:r>
            <w:r>
              <w:rPr>
                <w:rFonts w:cstheme="minorHAnsi"/>
                <w:sz w:val="20"/>
                <w:szCs w:val="20"/>
              </w:rPr>
              <w:t>UT-Battelle</w:t>
            </w:r>
            <w:r w:rsidR="000D02F6">
              <w:rPr>
                <w:rFonts w:cstheme="minorHAnsi"/>
                <w:sz w:val="20"/>
                <w:szCs w:val="20"/>
              </w:rPr>
              <w:t>. Workers shall f</w:t>
            </w:r>
            <w:r w:rsidRPr="00E551E9">
              <w:rPr>
                <w:rFonts w:cstheme="minorHAnsi"/>
                <w:sz w:val="20"/>
                <w:szCs w:val="20"/>
              </w:rPr>
              <w:t xml:space="preserve">ollow OSHA (as applicable through 10 CFR 851.23) and NFPA 70E requirements for hazardous energy control which require the </w:t>
            </w:r>
          </w:p>
          <w:p w14:paraId="33C66987" w14:textId="77777777" w:rsidR="00E551E9" w:rsidRPr="00E551E9" w:rsidRDefault="00E551E9" w:rsidP="00CC7C0A">
            <w:pPr>
              <w:rPr>
                <w:rFonts w:cstheme="minorHAnsi"/>
                <w:sz w:val="8"/>
                <w:szCs w:val="8"/>
              </w:rPr>
            </w:pPr>
          </w:p>
          <w:p w14:paraId="1BFABD49" w14:textId="071A30FD" w:rsidR="00E551E9" w:rsidRDefault="00E551E9" w:rsidP="00E551E9">
            <w:pPr>
              <w:rPr>
                <w:rFonts w:cstheme="minorHAnsi"/>
                <w:sz w:val="20"/>
                <w:szCs w:val="20"/>
              </w:rPr>
            </w:pPr>
            <w:r>
              <w:rPr>
                <w:rFonts w:cstheme="minorHAnsi"/>
                <w:sz w:val="20"/>
                <w:szCs w:val="20"/>
              </w:rPr>
              <w:t>Worker</w:t>
            </w:r>
            <w:r w:rsidR="000D02F6">
              <w:rPr>
                <w:rFonts w:cstheme="minorHAnsi"/>
                <w:sz w:val="20"/>
                <w:szCs w:val="20"/>
              </w:rPr>
              <w:t>s</w:t>
            </w:r>
            <w:r>
              <w:rPr>
                <w:rFonts w:cstheme="minorHAnsi"/>
                <w:sz w:val="20"/>
                <w:szCs w:val="20"/>
              </w:rPr>
              <w:t xml:space="preserve"> shall receive LO/TO training and follow their Companies </w:t>
            </w:r>
            <w:r w:rsidRPr="00E551E9">
              <w:rPr>
                <w:rFonts w:cstheme="minorHAnsi"/>
                <w:sz w:val="20"/>
                <w:szCs w:val="20"/>
              </w:rPr>
              <w:t>written hazardous energy control process</w:t>
            </w:r>
            <w:r>
              <w:rPr>
                <w:rFonts w:cstheme="minorHAnsi"/>
                <w:sz w:val="20"/>
                <w:szCs w:val="20"/>
              </w:rPr>
              <w:t xml:space="preserve">.  </w:t>
            </w:r>
            <w:r w:rsidRPr="00E551E9">
              <w:rPr>
                <w:rFonts w:cstheme="minorHAnsi"/>
                <w:sz w:val="20"/>
                <w:szCs w:val="20"/>
              </w:rPr>
              <w:t xml:space="preserve"> These requirements also apply to a single source of hazardous energy. </w:t>
            </w:r>
          </w:p>
          <w:p w14:paraId="0F5508CC" w14:textId="77777777" w:rsidR="00E551E9" w:rsidRPr="00B61983" w:rsidRDefault="00E551E9" w:rsidP="00E551E9">
            <w:pPr>
              <w:rPr>
                <w:rFonts w:cstheme="minorHAnsi"/>
                <w:sz w:val="8"/>
                <w:szCs w:val="8"/>
              </w:rPr>
            </w:pPr>
          </w:p>
          <w:p w14:paraId="4E7B1B39" w14:textId="77777777" w:rsidR="00E551E9" w:rsidRDefault="00E551E9" w:rsidP="00E551E9">
            <w:pPr>
              <w:rPr>
                <w:rFonts w:cstheme="minorHAnsi"/>
                <w:sz w:val="20"/>
                <w:szCs w:val="20"/>
              </w:rPr>
            </w:pPr>
            <w:r>
              <w:rPr>
                <w:rFonts w:cstheme="minorHAnsi"/>
                <w:sz w:val="20"/>
                <w:szCs w:val="20"/>
              </w:rPr>
              <w:t>Workers s</w:t>
            </w:r>
            <w:r w:rsidRPr="00E551E9">
              <w:rPr>
                <w:rFonts w:cstheme="minorHAnsi"/>
                <w:sz w:val="20"/>
                <w:szCs w:val="20"/>
              </w:rPr>
              <w:t xml:space="preserve">eller shall comply with the requirements of 29 CFR 1910.147 for servicing and maintenance when the unexpected energization or release of stored energy could cause injury. Work requiring the control of sources of hazardous energy shall follow the applicable OSHA and NFPA requirements, e.g. 29 CFR 1910.147, 1910.269, 1910.333 and NFPA 70E. </w:t>
            </w:r>
          </w:p>
          <w:p w14:paraId="485E709D" w14:textId="77777777" w:rsidR="00E551E9" w:rsidRDefault="00E551E9" w:rsidP="00E551E9">
            <w:pPr>
              <w:rPr>
                <w:rFonts w:cstheme="minorHAnsi"/>
                <w:sz w:val="20"/>
                <w:szCs w:val="20"/>
              </w:rPr>
            </w:pPr>
          </w:p>
          <w:p w14:paraId="69D8763A" w14:textId="6DBC0167" w:rsidR="00E551E9" w:rsidRDefault="00E551E9" w:rsidP="00E551E9">
            <w:pPr>
              <w:rPr>
                <w:rFonts w:cstheme="minorHAnsi"/>
                <w:sz w:val="20"/>
                <w:szCs w:val="20"/>
              </w:rPr>
            </w:pPr>
            <w:r>
              <w:rPr>
                <w:rFonts w:cstheme="minorHAnsi"/>
                <w:sz w:val="20"/>
                <w:szCs w:val="20"/>
              </w:rPr>
              <w:t xml:space="preserve">Workers engaged in work </w:t>
            </w:r>
            <w:r w:rsidRPr="00E551E9">
              <w:rPr>
                <w:rFonts w:cstheme="minorHAnsi"/>
                <w:sz w:val="20"/>
                <w:szCs w:val="20"/>
              </w:rPr>
              <w:t xml:space="preserve">involving forms/sources of hazardous energy, e.g. electrical, pneumatic, hydraulic, mechanical, etc. shall </w:t>
            </w:r>
            <w:r>
              <w:rPr>
                <w:rFonts w:cstheme="minorHAnsi"/>
                <w:sz w:val="20"/>
                <w:szCs w:val="20"/>
              </w:rPr>
              <w:t xml:space="preserve">follow approved </w:t>
            </w:r>
            <w:r w:rsidRPr="00E551E9">
              <w:rPr>
                <w:rFonts w:cstheme="minorHAnsi"/>
                <w:sz w:val="20"/>
                <w:szCs w:val="20"/>
              </w:rPr>
              <w:t xml:space="preserve">procedure that specifies how those forms of hazardous energy will be properly controlled by lockout/tagout (LO/TO). </w:t>
            </w:r>
          </w:p>
          <w:p w14:paraId="608EB2B2" w14:textId="77777777" w:rsidR="000D02F6" w:rsidRDefault="000D02F6" w:rsidP="00E551E9">
            <w:pPr>
              <w:rPr>
                <w:rFonts w:cstheme="minorHAnsi"/>
                <w:sz w:val="20"/>
                <w:szCs w:val="20"/>
              </w:rPr>
            </w:pPr>
          </w:p>
          <w:p w14:paraId="37558D0A" w14:textId="1265FD88" w:rsidR="000D02F6" w:rsidRDefault="000D02F6" w:rsidP="00E551E9">
            <w:pPr>
              <w:rPr>
                <w:rFonts w:cstheme="minorHAnsi"/>
                <w:sz w:val="20"/>
                <w:szCs w:val="20"/>
              </w:rPr>
            </w:pPr>
            <w:r>
              <w:rPr>
                <w:rFonts w:cstheme="minorHAnsi"/>
                <w:sz w:val="20"/>
                <w:szCs w:val="20"/>
              </w:rPr>
              <w:t xml:space="preserve">Workers </w:t>
            </w:r>
            <w:r w:rsidRPr="000D02F6">
              <w:rPr>
                <w:rFonts w:cstheme="minorHAnsi"/>
                <w:sz w:val="20"/>
                <w:szCs w:val="20"/>
              </w:rPr>
              <w:t xml:space="preserve">shall comply with the requirements of 29 CFR 1910.147 for servicing and maintenance when the unexpected energization or release of stored energy could cause injury. Work requiring the control of sources of hazardous energy shall follow the applicable OSHA and NFPA requirements, e.g. 29 CFR 1910.147, 1910.269, 1910.333 and NFPA 70E.      </w:t>
            </w:r>
          </w:p>
          <w:p w14:paraId="1EAD6B7B" w14:textId="77777777" w:rsidR="000D02F6" w:rsidRDefault="000D02F6" w:rsidP="00E551E9">
            <w:pPr>
              <w:rPr>
                <w:rFonts w:cstheme="minorHAnsi"/>
                <w:sz w:val="20"/>
                <w:szCs w:val="20"/>
              </w:rPr>
            </w:pPr>
          </w:p>
          <w:p w14:paraId="2DC30109" w14:textId="4A5B0815" w:rsidR="00E551E9" w:rsidRDefault="000D02F6" w:rsidP="00E551E9">
            <w:pPr>
              <w:rPr>
                <w:rFonts w:cstheme="minorHAnsi"/>
                <w:sz w:val="20"/>
                <w:szCs w:val="20"/>
              </w:rPr>
            </w:pPr>
            <w:r>
              <w:rPr>
                <w:rFonts w:cstheme="minorHAnsi"/>
                <w:sz w:val="20"/>
                <w:szCs w:val="20"/>
              </w:rPr>
              <w:t xml:space="preserve">Prior to beginning work, </w:t>
            </w:r>
            <w:r w:rsidR="00E551E9" w:rsidRPr="00E551E9">
              <w:rPr>
                <w:rFonts w:cstheme="minorHAnsi"/>
                <w:sz w:val="20"/>
                <w:szCs w:val="20"/>
              </w:rPr>
              <w:t>the following requirement(s) shall be observed</w:t>
            </w:r>
            <w:r>
              <w:rPr>
                <w:rFonts w:cstheme="minorHAnsi"/>
                <w:sz w:val="20"/>
                <w:szCs w:val="20"/>
              </w:rPr>
              <w:t xml:space="preserve"> (as applicable to the task)</w:t>
            </w:r>
            <w:r w:rsidR="00E551E9" w:rsidRPr="00E551E9">
              <w:rPr>
                <w:rFonts w:cstheme="minorHAnsi"/>
                <w:sz w:val="20"/>
                <w:szCs w:val="20"/>
              </w:rPr>
              <w:t xml:space="preserve">: </w:t>
            </w:r>
          </w:p>
          <w:p w14:paraId="478A045E" w14:textId="77777777" w:rsidR="00E551E9" w:rsidRDefault="00E551E9" w:rsidP="00E551E9">
            <w:pPr>
              <w:rPr>
                <w:rFonts w:cstheme="minorHAnsi"/>
                <w:sz w:val="20"/>
                <w:szCs w:val="20"/>
              </w:rPr>
            </w:pPr>
            <w:r w:rsidRPr="00E551E9">
              <w:rPr>
                <w:rFonts w:cstheme="minorHAnsi"/>
                <w:sz w:val="20"/>
                <w:szCs w:val="20"/>
              </w:rPr>
              <w:t>1) Lockout/Tagout required by an outage of a portion of the [external] electrical distribution system shall be coordinated by ORNL Utilities</w:t>
            </w:r>
            <w:r>
              <w:rPr>
                <w:rFonts w:cstheme="minorHAnsi"/>
                <w:sz w:val="20"/>
                <w:szCs w:val="20"/>
              </w:rPr>
              <w:t xml:space="preserve">; </w:t>
            </w:r>
          </w:p>
          <w:p w14:paraId="72E5244D" w14:textId="77777777" w:rsidR="00E551E9" w:rsidRDefault="00E551E9" w:rsidP="00E551E9">
            <w:pPr>
              <w:rPr>
                <w:rFonts w:cstheme="minorHAnsi"/>
                <w:sz w:val="20"/>
                <w:szCs w:val="20"/>
              </w:rPr>
            </w:pPr>
            <w:r w:rsidRPr="00E551E9">
              <w:rPr>
                <w:rFonts w:cstheme="minorHAnsi"/>
                <w:sz w:val="20"/>
                <w:szCs w:val="20"/>
              </w:rPr>
              <w:t xml:space="preserve">2) Lockout of any permanently wired component, equipment, or system served by a facility's internal distribution system must be coordinated with the Technical Project Officer or their designated representative. The need to de-energize a disconnect switch or circuit breaker is a typical example of this. Note: This requirement does not apply to equipment that is supplied exclusively by flexible cord and plug that is under the exclusive control of the employee performing work. </w:t>
            </w:r>
          </w:p>
          <w:p w14:paraId="7533B543" w14:textId="00846A0D" w:rsidR="00041456" w:rsidRPr="0064048A" w:rsidRDefault="00E551E9" w:rsidP="00E551E9">
            <w:pPr>
              <w:rPr>
                <w:rFonts w:cstheme="minorHAnsi"/>
                <w:sz w:val="20"/>
                <w:szCs w:val="20"/>
              </w:rPr>
            </w:pPr>
            <w:r w:rsidRPr="00E551E9">
              <w:rPr>
                <w:rFonts w:cstheme="minorHAnsi"/>
                <w:sz w:val="20"/>
                <w:szCs w:val="20"/>
              </w:rPr>
              <w:t xml:space="preserve">3) Method for verifying zero energy isolation of electrical circuits must be performed in accordance with applicable NFPA 70E requirements (see Electrical section).         </w:t>
            </w:r>
          </w:p>
        </w:tc>
      </w:tr>
    </w:tbl>
    <w:p w14:paraId="78BB9288" w14:textId="77777777" w:rsidR="00E551E9" w:rsidRPr="00E551E9" w:rsidRDefault="00E551E9" w:rsidP="00E551E9">
      <w:pPr>
        <w:pStyle w:val="NoSpacing"/>
        <w:rPr>
          <w:b/>
          <w:sz w:val="4"/>
          <w:szCs w:val="4"/>
        </w:rPr>
      </w:pPr>
      <w:bookmarkStart w:id="1" w:name="_Hlk518034745"/>
      <w:bookmarkEnd w:id="0"/>
    </w:p>
    <w:p w14:paraId="5C49ADDD" w14:textId="77777777" w:rsidR="000D02F6" w:rsidRDefault="000D02F6" w:rsidP="00E551E9">
      <w:pPr>
        <w:pStyle w:val="NoSpacing"/>
        <w:ind w:left="4320" w:firstLine="720"/>
        <w:rPr>
          <w:b/>
          <w:sz w:val="24"/>
          <w:szCs w:val="24"/>
        </w:rPr>
      </w:pPr>
    </w:p>
    <w:p w14:paraId="6D05B9B8" w14:textId="77777777" w:rsidR="000D02F6" w:rsidRDefault="000D02F6" w:rsidP="00E551E9">
      <w:pPr>
        <w:pStyle w:val="NoSpacing"/>
        <w:ind w:left="4320" w:firstLine="720"/>
        <w:rPr>
          <w:b/>
          <w:sz w:val="24"/>
          <w:szCs w:val="24"/>
        </w:rPr>
      </w:pPr>
    </w:p>
    <w:p w14:paraId="58DC643D" w14:textId="77777777" w:rsidR="000D02F6" w:rsidRDefault="000D02F6" w:rsidP="00E551E9">
      <w:pPr>
        <w:pStyle w:val="NoSpacing"/>
        <w:ind w:left="4320" w:firstLine="720"/>
        <w:rPr>
          <w:b/>
          <w:sz w:val="24"/>
          <w:szCs w:val="24"/>
        </w:rPr>
      </w:pPr>
    </w:p>
    <w:p w14:paraId="50DE0AA8" w14:textId="77777777" w:rsidR="000D02F6" w:rsidRDefault="000D02F6" w:rsidP="00E551E9">
      <w:pPr>
        <w:pStyle w:val="NoSpacing"/>
        <w:ind w:left="4320" w:firstLine="720"/>
        <w:rPr>
          <w:b/>
          <w:sz w:val="24"/>
          <w:szCs w:val="24"/>
        </w:rPr>
      </w:pPr>
    </w:p>
    <w:p w14:paraId="002F9274" w14:textId="77777777" w:rsidR="000D02F6" w:rsidRDefault="000D02F6" w:rsidP="00E551E9">
      <w:pPr>
        <w:pStyle w:val="NoSpacing"/>
        <w:ind w:left="4320" w:firstLine="720"/>
        <w:rPr>
          <w:b/>
          <w:sz w:val="24"/>
          <w:szCs w:val="24"/>
        </w:rPr>
      </w:pPr>
    </w:p>
    <w:p w14:paraId="1D6DCC6C" w14:textId="77777777" w:rsidR="000D02F6" w:rsidRDefault="000D02F6" w:rsidP="00E551E9">
      <w:pPr>
        <w:pStyle w:val="NoSpacing"/>
        <w:ind w:left="4320" w:firstLine="720"/>
        <w:rPr>
          <w:b/>
          <w:sz w:val="24"/>
          <w:szCs w:val="24"/>
        </w:rPr>
      </w:pPr>
    </w:p>
    <w:p w14:paraId="1CC420A3" w14:textId="77777777" w:rsidR="000D02F6" w:rsidRDefault="000D02F6" w:rsidP="00E551E9">
      <w:pPr>
        <w:pStyle w:val="NoSpacing"/>
        <w:ind w:left="4320" w:firstLine="720"/>
        <w:rPr>
          <w:b/>
          <w:sz w:val="24"/>
          <w:szCs w:val="24"/>
        </w:rPr>
      </w:pPr>
    </w:p>
    <w:p w14:paraId="3E0680B2" w14:textId="77777777" w:rsidR="000D02F6" w:rsidRDefault="000D02F6" w:rsidP="00E551E9">
      <w:pPr>
        <w:pStyle w:val="NoSpacing"/>
        <w:ind w:left="4320" w:firstLine="720"/>
        <w:rPr>
          <w:b/>
          <w:sz w:val="24"/>
          <w:szCs w:val="24"/>
        </w:rPr>
      </w:pPr>
    </w:p>
    <w:p w14:paraId="64E66E8A" w14:textId="5294449F" w:rsidR="008A049D" w:rsidRPr="00E551E9" w:rsidRDefault="008A049D" w:rsidP="00E551E9">
      <w:pPr>
        <w:pStyle w:val="NoSpacing"/>
        <w:ind w:left="4320" w:firstLine="720"/>
        <w:rPr>
          <w:b/>
          <w:sz w:val="4"/>
          <w:szCs w:val="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2"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bookmarkStart w:id="3" w:name="_GoBack"/>
            <w:r>
              <w:rPr>
                <w:sz w:val="20"/>
                <w:szCs w:val="20"/>
              </w:rPr>
              <w:t> </w:t>
            </w:r>
            <w:r>
              <w:rPr>
                <w:sz w:val="20"/>
                <w:szCs w:val="20"/>
              </w:rPr>
              <w:t> </w:t>
            </w:r>
            <w:r>
              <w:rPr>
                <w:sz w:val="20"/>
                <w:szCs w:val="20"/>
              </w:rPr>
              <w:t> </w:t>
            </w:r>
            <w:r>
              <w:rPr>
                <w:sz w:val="20"/>
                <w:szCs w:val="20"/>
              </w:rPr>
              <w:t> </w:t>
            </w:r>
            <w:r>
              <w:rPr>
                <w:sz w:val="20"/>
                <w:szCs w:val="20"/>
              </w:rPr>
              <w:t> </w:t>
            </w:r>
            <w:bookmarkEnd w:id="3"/>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0D02F6">
              <w:rPr>
                <w:sz w:val="20"/>
                <w:szCs w:val="20"/>
              </w:rPr>
            </w:r>
            <w:r w:rsidR="000D02F6">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D02F6">
              <w:rPr>
                <w:sz w:val="20"/>
                <w:szCs w:val="20"/>
              </w:rPr>
            </w:r>
            <w:r w:rsidR="000D02F6">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02F6">
              <w:rPr>
                <w:sz w:val="20"/>
                <w:szCs w:val="20"/>
              </w:rPr>
            </w:r>
            <w:r w:rsidR="000D02F6">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02F6">
              <w:rPr>
                <w:sz w:val="20"/>
                <w:szCs w:val="20"/>
              </w:rPr>
            </w:r>
            <w:r w:rsidR="000D02F6">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02F6">
              <w:rPr>
                <w:sz w:val="20"/>
                <w:szCs w:val="20"/>
              </w:rPr>
            </w:r>
            <w:r w:rsidR="000D02F6">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02F6">
              <w:rPr>
                <w:sz w:val="20"/>
                <w:szCs w:val="20"/>
              </w:rPr>
            </w:r>
            <w:r w:rsidR="000D02F6">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02F6">
              <w:rPr>
                <w:sz w:val="20"/>
                <w:szCs w:val="20"/>
              </w:rPr>
            </w:r>
            <w:r w:rsidR="000D02F6">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D02F6">
              <w:rPr>
                <w:sz w:val="20"/>
                <w:szCs w:val="20"/>
              </w:rPr>
            </w:r>
            <w:r w:rsidR="000D02F6">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D02F6">
              <w:rPr>
                <w:sz w:val="20"/>
                <w:szCs w:val="20"/>
              </w:rPr>
            </w:r>
            <w:r w:rsidR="000D02F6">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2"/>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62747061" w14:textId="2FAD8447" w:rsidR="00BE2B77" w:rsidRPr="0067508A" w:rsidRDefault="00BE2B77" w:rsidP="00BE2B77">
      <w:pPr>
        <w:tabs>
          <w:tab w:val="left" w:pos="4320"/>
          <w:tab w:val="left" w:pos="6637"/>
        </w:tabs>
        <w:rPr>
          <w:b/>
          <w:sz w:val="20"/>
          <w:szCs w:val="20"/>
        </w:rPr>
      </w:pPr>
      <w:r w:rsidRPr="0067508A">
        <w:rPr>
          <w:b/>
          <w:sz w:val="20"/>
          <w:szCs w:val="20"/>
        </w:rPr>
        <w:t>For additional activities/tasks or hazards, use an AHA continuation sheet.</w:t>
      </w:r>
    </w:p>
    <w:p w14:paraId="28081720" w14:textId="1F4B965A" w:rsidR="00BE2B77" w:rsidRDefault="00BE2B77" w:rsidP="00BE2B77">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B7C9427" w14:textId="78C0A1F5" w:rsidR="00BE2B77" w:rsidRDefault="00BE2B77" w:rsidP="00BE2B77">
      <w:pPr>
        <w:tabs>
          <w:tab w:val="left" w:pos="4320"/>
          <w:tab w:val="left" w:pos="6637"/>
        </w:tabs>
        <w:rPr>
          <w:sz w:val="20"/>
          <w:szCs w:val="20"/>
        </w:rPr>
      </w:pPr>
      <w:r w:rsidRPr="00BE2B77">
        <w:rPr>
          <w:sz w:val="20"/>
          <w:szCs w:val="20"/>
        </w:rPr>
        <w:t>ES&amp;H/QHSP Representative Concurrence signature:  ____________________________________________________________                 Date: _________</w:t>
      </w:r>
    </w:p>
    <w:tbl>
      <w:tblPr>
        <w:tblStyle w:val="TableGrid"/>
        <w:tblW w:w="0" w:type="auto"/>
        <w:tblLook w:val="04A0" w:firstRow="1" w:lastRow="0" w:firstColumn="1" w:lastColumn="0" w:noHBand="0" w:noVBand="1"/>
      </w:tblPr>
      <w:tblGrid>
        <w:gridCol w:w="14946"/>
      </w:tblGrid>
      <w:tr w:rsidR="00BE2B77" w14:paraId="73E1AD89" w14:textId="77777777" w:rsidTr="000C78CC">
        <w:tc>
          <w:tcPr>
            <w:tcW w:w="14946" w:type="dxa"/>
            <w:tcBorders>
              <w:top w:val="single" w:sz="12" w:space="0" w:color="auto"/>
              <w:left w:val="single" w:sz="12" w:space="0" w:color="auto"/>
              <w:bottom w:val="single" w:sz="12" w:space="0" w:color="auto"/>
              <w:right w:val="single" w:sz="12" w:space="0" w:color="auto"/>
            </w:tcBorders>
          </w:tcPr>
          <w:p w14:paraId="1D07A1AD" w14:textId="77777777" w:rsidR="00BE2B77" w:rsidRDefault="00BE2B77" w:rsidP="000C78CC">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Pr="00200423">
              <w:rPr>
                <w:rFonts w:asciiTheme="minorHAnsi" w:hAnsiTheme="minorHAnsi" w:cstheme="minorHAnsi"/>
                <w:sz w:val="24"/>
                <w:szCs w:val="24"/>
              </w:rPr>
              <w:t>Technical Procurement Officer</w:t>
            </w:r>
            <w:r>
              <w:rPr>
                <w:rFonts w:asciiTheme="minorHAnsi" w:hAnsiTheme="minorHAnsi" w:cstheme="minorHAnsi"/>
                <w:sz w:val="24"/>
                <w:szCs w:val="24"/>
              </w:rPr>
              <w:t xml:space="preserve"> signature indicates approval of activity-specific hazards controls identified in the subcontractor AHA.</w:t>
            </w:r>
          </w:p>
          <w:p w14:paraId="48D225F1" w14:textId="77777777" w:rsidR="00BE2B77" w:rsidRPr="002A68DB" w:rsidRDefault="00BE2B77" w:rsidP="000C78CC">
            <w:pPr>
              <w:pStyle w:val="BodyText"/>
              <w:kinsoku w:val="0"/>
              <w:overflowPunct w:val="0"/>
              <w:rPr>
                <w:rFonts w:asciiTheme="minorHAnsi" w:hAnsiTheme="minorHAnsi" w:cstheme="minorHAnsi"/>
                <w:sz w:val="14"/>
                <w:szCs w:val="14"/>
              </w:rPr>
            </w:pPr>
          </w:p>
          <w:p w14:paraId="41065BF4" w14:textId="77777777" w:rsidR="00BE2B77" w:rsidRPr="00200423" w:rsidRDefault="00BE2B77" w:rsidP="000C78CC">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2C026B78" w14:textId="77777777" w:rsidR="00BE2B77" w:rsidRPr="002A68DB" w:rsidRDefault="00BE2B77" w:rsidP="000C78CC">
            <w:pPr>
              <w:pStyle w:val="BodyText"/>
              <w:kinsoku w:val="0"/>
              <w:overflowPunct w:val="0"/>
              <w:rPr>
                <w:rFonts w:asciiTheme="minorHAnsi" w:hAnsiTheme="minorHAnsi" w:cstheme="minorHAnsi"/>
                <w:sz w:val="12"/>
                <w:szCs w:val="12"/>
              </w:rPr>
            </w:pPr>
          </w:p>
        </w:tc>
      </w:tr>
    </w:tbl>
    <w:p w14:paraId="32704BDE" w14:textId="1C8F00D7" w:rsidR="004D4D0F" w:rsidRPr="00200423" w:rsidRDefault="004D4D0F" w:rsidP="00AD7DD2">
      <w:pPr>
        <w:pStyle w:val="BodyText"/>
        <w:kinsoku w:val="0"/>
        <w:overflowPunct w:val="0"/>
        <w:rPr>
          <w:rFonts w:asciiTheme="minorHAnsi" w:hAnsiTheme="minorHAnsi" w:cstheme="minorHAnsi"/>
          <w:sz w:val="24"/>
          <w:szCs w:val="24"/>
        </w:rPr>
      </w:pPr>
    </w:p>
    <w:sectPr w:rsidR="004D4D0F" w:rsidRPr="00200423" w:rsidSect="00441922">
      <w:headerReference w:type="default" r:id="rId8"/>
      <w:footerReference w:type="default" r:id="rId9"/>
      <w:pgSz w:w="15840" w:h="12240" w:orient="landscape" w:code="1"/>
      <w:pgMar w:top="432" w:right="432" w:bottom="432"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6CB3F4BB" w:rsidR="006069F9" w:rsidRDefault="006069F9" w:rsidP="006069F9">
            <w:pPr>
              <w:pStyle w:val="Footer"/>
            </w:pPr>
            <w:r>
              <w:t xml:space="preserve">Rev. </w:t>
            </w:r>
            <w:r w:rsidR="00BB1B99">
              <w:t>1</w:t>
            </w:r>
            <w:r>
              <w:t>, Date:  0</w:t>
            </w:r>
            <w:r w:rsidR="00510D06">
              <w:t>7</w:t>
            </w:r>
            <w:r>
              <w:t>/</w:t>
            </w:r>
            <w:r w:rsidR="00BB1B99">
              <w:t>1</w:t>
            </w:r>
            <w:r w:rsidR="00510D06">
              <w:t>0</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242ED74D" w:rsidR="00A06D3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iNDVeq5wDvP13wRpkxuZuL5XZQGq+QC56poYMFamhrmDkLjV9V5+hY0tReBJJio22cHsiO2QPGTn7PQW8GVMiQ==" w:salt="iWgblIZUGxmvrH68tqvF7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D02F6"/>
    <w:rsid w:val="000E0C69"/>
    <w:rsid w:val="001114A4"/>
    <w:rsid w:val="00113495"/>
    <w:rsid w:val="0012557C"/>
    <w:rsid w:val="001316C7"/>
    <w:rsid w:val="0016707C"/>
    <w:rsid w:val="00176969"/>
    <w:rsid w:val="00183876"/>
    <w:rsid w:val="001903D7"/>
    <w:rsid w:val="001A2189"/>
    <w:rsid w:val="001D2C71"/>
    <w:rsid w:val="001F674B"/>
    <w:rsid w:val="00200423"/>
    <w:rsid w:val="00257BEA"/>
    <w:rsid w:val="00283C9D"/>
    <w:rsid w:val="002946D9"/>
    <w:rsid w:val="002A68DB"/>
    <w:rsid w:val="002F6B64"/>
    <w:rsid w:val="00303588"/>
    <w:rsid w:val="0032131E"/>
    <w:rsid w:val="00355247"/>
    <w:rsid w:val="003761FF"/>
    <w:rsid w:val="003E31A4"/>
    <w:rsid w:val="00441922"/>
    <w:rsid w:val="00447A00"/>
    <w:rsid w:val="00463291"/>
    <w:rsid w:val="004945D6"/>
    <w:rsid w:val="004C20B1"/>
    <w:rsid w:val="004D4D0F"/>
    <w:rsid w:val="005028D9"/>
    <w:rsid w:val="00510D06"/>
    <w:rsid w:val="00565793"/>
    <w:rsid w:val="00585658"/>
    <w:rsid w:val="005B3D53"/>
    <w:rsid w:val="005E1DD9"/>
    <w:rsid w:val="005E656A"/>
    <w:rsid w:val="006069F9"/>
    <w:rsid w:val="0064048A"/>
    <w:rsid w:val="00641D5F"/>
    <w:rsid w:val="00665E84"/>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A22BE"/>
    <w:rsid w:val="009B443A"/>
    <w:rsid w:val="00A06D31"/>
    <w:rsid w:val="00A40041"/>
    <w:rsid w:val="00A612D8"/>
    <w:rsid w:val="00A613E6"/>
    <w:rsid w:val="00AD4E8B"/>
    <w:rsid w:val="00AD7DD2"/>
    <w:rsid w:val="00AE054F"/>
    <w:rsid w:val="00AE135A"/>
    <w:rsid w:val="00AF463A"/>
    <w:rsid w:val="00B108A2"/>
    <w:rsid w:val="00B12C88"/>
    <w:rsid w:val="00B61983"/>
    <w:rsid w:val="00B72AC5"/>
    <w:rsid w:val="00BB1B99"/>
    <w:rsid w:val="00BE2B77"/>
    <w:rsid w:val="00C01D9A"/>
    <w:rsid w:val="00C038A6"/>
    <w:rsid w:val="00CA088A"/>
    <w:rsid w:val="00CA416D"/>
    <w:rsid w:val="00CA7255"/>
    <w:rsid w:val="00CA77EF"/>
    <w:rsid w:val="00CB0010"/>
    <w:rsid w:val="00CB4769"/>
    <w:rsid w:val="00CC7C0A"/>
    <w:rsid w:val="00D20B88"/>
    <w:rsid w:val="00D4646C"/>
    <w:rsid w:val="00D46B79"/>
    <w:rsid w:val="00D74316"/>
    <w:rsid w:val="00D76B65"/>
    <w:rsid w:val="00DC3431"/>
    <w:rsid w:val="00DF2710"/>
    <w:rsid w:val="00DF52B0"/>
    <w:rsid w:val="00E11A5E"/>
    <w:rsid w:val="00E13702"/>
    <w:rsid w:val="00E20BC0"/>
    <w:rsid w:val="00E51E52"/>
    <w:rsid w:val="00E531F7"/>
    <w:rsid w:val="00E551E9"/>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C026-79B0-4974-B46F-38DA42B21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2019-07-12T17:41:00Z</dcterms:created>
  <dcterms:modified xsi:type="dcterms:W3CDTF">2019-07-12T17:41:00Z</dcterms:modified>
</cp:coreProperties>
</file>