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74796F0B" w14:textId="0EFDDD04" w:rsidR="008E4D08" w:rsidRPr="0064048A" w:rsidRDefault="006E5CC2" w:rsidP="00EF1E0B">
            <w:pPr>
              <w:rPr>
                <w:rFonts w:cstheme="minorHAnsi"/>
                <w:sz w:val="20"/>
                <w:szCs w:val="20"/>
              </w:rPr>
            </w:pPr>
            <w:bookmarkStart w:id="1" w:name="_Hlk518035310"/>
            <w:r w:rsidRPr="006E5CC2">
              <w:rPr>
                <w:rFonts w:cstheme="minorHAnsi"/>
                <w:sz w:val="20"/>
                <w:szCs w:val="20"/>
              </w:rPr>
              <w:t>Temporary Heating Appliances</w:t>
            </w:r>
          </w:p>
        </w:tc>
        <w:tc>
          <w:tcPr>
            <w:tcW w:w="6390" w:type="dxa"/>
          </w:tcPr>
          <w:p w14:paraId="71A5DC0C" w14:textId="7CC89A42" w:rsidR="008E4D08" w:rsidRPr="004C20B1" w:rsidRDefault="006E5CC2" w:rsidP="004C20B1">
            <w:pPr>
              <w:rPr>
                <w:rFonts w:cstheme="minorHAnsi"/>
                <w:sz w:val="20"/>
                <w:szCs w:val="20"/>
              </w:rPr>
            </w:pPr>
            <w:r w:rsidRPr="006E5CC2">
              <w:rPr>
                <w:rFonts w:cstheme="minorHAnsi"/>
                <w:sz w:val="20"/>
                <w:szCs w:val="20"/>
              </w:rPr>
              <w:t>The Seller must ensure temporary heating appliances are UL listed for the intended use, are kept at least 5 feet away from combustible materials, are in good operating condition, and are not left unattended while in operation.</w:t>
            </w:r>
          </w:p>
        </w:tc>
        <w:tc>
          <w:tcPr>
            <w:tcW w:w="6457" w:type="dxa"/>
          </w:tcPr>
          <w:p w14:paraId="6B34BB9E" w14:textId="77777777" w:rsidR="006E5CC2" w:rsidRPr="006E5CC2" w:rsidRDefault="006E5CC2" w:rsidP="006E5CC2">
            <w:pPr>
              <w:rPr>
                <w:rFonts w:cstheme="minorHAnsi"/>
                <w:sz w:val="20"/>
                <w:szCs w:val="20"/>
              </w:rPr>
            </w:pPr>
            <w:r w:rsidRPr="006E5CC2">
              <w:rPr>
                <w:rFonts w:cstheme="minorHAnsi"/>
                <w:sz w:val="20"/>
                <w:szCs w:val="20"/>
              </w:rPr>
              <w:t>Workers shall ensure they inspect all temporary equipment before each use.  Ensure equipment is UL listed and kept away from combustible materials.  IF material is not UL listed, do NOT use.</w:t>
            </w:r>
          </w:p>
          <w:p w14:paraId="610E8E8D" w14:textId="77777777" w:rsidR="006E5CC2" w:rsidRPr="006E5CC2" w:rsidRDefault="006E5CC2" w:rsidP="006E5CC2">
            <w:pPr>
              <w:rPr>
                <w:rFonts w:cstheme="minorHAnsi"/>
                <w:sz w:val="20"/>
                <w:szCs w:val="20"/>
              </w:rPr>
            </w:pPr>
          </w:p>
          <w:p w14:paraId="7533B543" w14:textId="48FF6BDA" w:rsidR="008E4D08" w:rsidRPr="0064048A" w:rsidRDefault="006E5CC2" w:rsidP="00EB7F79">
            <w:pPr>
              <w:rPr>
                <w:rFonts w:cstheme="minorHAnsi"/>
                <w:sz w:val="20"/>
                <w:szCs w:val="20"/>
              </w:rPr>
            </w:pPr>
            <w:r w:rsidRPr="006E5CC2">
              <w:rPr>
                <w:rFonts w:cstheme="minorHAnsi"/>
                <w:sz w:val="20"/>
                <w:szCs w:val="20"/>
              </w:rPr>
              <w:t>Workers shall contact LSS Office (865.576.4LSS) in the event of an accident/emergency.</w:t>
            </w:r>
          </w:p>
        </w:tc>
      </w:tr>
      <w:bookmarkEnd w:id="1"/>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2"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EB7F79">
              <w:rPr>
                <w:sz w:val="20"/>
                <w:szCs w:val="20"/>
              </w:rPr>
            </w:r>
            <w:r w:rsidR="00EB7F79">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EB7F79">
              <w:rPr>
                <w:sz w:val="20"/>
                <w:szCs w:val="20"/>
              </w:rPr>
            </w:r>
            <w:r w:rsidR="00EB7F79">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EB7F79">
              <w:rPr>
                <w:sz w:val="20"/>
                <w:szCs w:val="20"/>
              </w:rPr>
            </w:r>
            <w:r w:rsidR="00EB7F79">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EB7F79">
              <w:rPr>
                <w:sz w:val="20"/>
                <w:szCs w:val="20"/>
              </w:rPr>
            </w:r>
            <w:r w:rsidR="00EB7F79">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EB7F79">
              <w:rPr>
                <w:sz w:val="20"/>
                <w:szCs w:val="20"/>
              </w:rPr>
            </w:r>
            <w:r w:rsidR="00EB7F79">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EB7F79">
              <w:rPr>
                <w:sz w:val="20"/>
                <w:szCs w:val="20"/>
              </w:rPr>
            </w:r>
            <w:r w:rsidR="00EB7F79">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EB7F79">
              <w:rPr>
                <w:sz w:val="20"/>
                <w:szCs w:val="20"/>
              </w:rPr>
            </w:r>
            <w:r w:rsidR="00EB7F79">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EB7F79">
              <w:rPr>
                <w:sz w:val="20"/>
                <w:szCs w:val="20"/>
              </w:rPr>
            </w:r>
            <w:r w:rsidR="00EB7F79">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EB7F79">
              <w:rPr>
                <w:sz w:val="20"/>
                <w:szCs w:val="20"/>
              </w:rPr>
            </w:r>
            <w:r w:rsidR="00EB7F79">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724EC657" w14:textId="77777777" w:rsidR="00EB7F79" w:rsidRDefault="00EB7F79" w:rsidP="00075CB9">
      <w:pPr>
        <w:tabs>
          <w:tab w:val="left" w:pos="4320"/>
          <w:tab w:val="left" w:pos="6637"/>
        </w:tabs>
      </w:pPr>
    </w:p>
    <w:p w14:paraId="7307DFF0" w14:textId="1BFAB0C3"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34E7F005" w14:textId="129DAD5F" w:rsidR="00EB7F79" w:rsidRDefault="00EB7F79" w:rsidP="00EB7F79">
      <w:pPr>
        <w:widowControl w:val="0"/>
        <w:kinsoku w:val="0"/>
        <w:overflowPunct w:val="0"/>
        <w:autoSpaceDE w:val="0"/>
        <w:autoSpaceDN w:val="0"/>
        <w:adjustRightInd w:val="0"/>
        <w:spacing w:after="0" w:line="240" w:lineRule="auto"/>
        <w:rPr>
          <w:rFonts w:eastAsia="Times New Roman" w:cstheme="minorHAnsi"/>
          <w:sz w:val="24"/>
          <w:szCs w:val="24"/>
        </w:rPr>
      </w:pPr>
      <w:bookmarkStart w:id="5" w:name="_Hlk522538131"/>
    </w:p>
    <w:p w14:paraId="4610C9E3" w14:textId="7DA192F9" w:rsidR="00EB7F79" w:rsidRDefault="00EB7F79" w:rsidP="00EB7F79">
      <w:pPr>
        <w:widowControl w:val="0"/>
        <w:kinsoku w:val="0"/>
        <w:overflowPunct w:val="0"/>
        <w:autoSpaceDE w:val="0"/>
        <w:autoSpaceDN w:val="0"/>
        <w:adjustRightInd w:val="0"/>
        <w:spacing w:after="0" w:line="240" w:lineRule="auto"/>
        <w:rPr>
          <w:rFonts w:eastAsia="Times New Roman" w:cstheme="minorHAnsi"/>
          <w:sz w:val="24"/>
          <w:szCs w:val="24"/>
        </w:rPr>
      </w:pPr>
    </w:p>
    <w:p w14:paraId="3A9048AD" w14:textId="3DD94221" w:rsidR="00EB7F79" w:rsidRDefault="00EB7F79" w:rsidP="00EB7F79">
      <w:pPr>
        <w:widowControl w:val="0"/>
        <w:kinsoku w:val="0"/>
        <w:overflowPunct w:val="0"/>
        <w:autoSpaceDE w:val="0"/>
        <w:autoSpaceDN w:val="0"/>
        <w:adjustRightInd w:val="0"/>
        <w:spacing w:after="0" w:line="240" w:lineRule="auto"/>
        <w:rPr>
          <w:rFonts w:eastAsia="Times New Roman" w:cstheme="minorHAnsi"/>
          <w:sz w:val="24"/>
          <w:szCs w:val="24"/>
        </w:rPr>
      </w:pPr>
    </w:p>
    <w:p w14:paraId="52CAB963" w14:textId="38F0B715" w:rsidR="00EB7F79" w:rsidRDefault="00EB7F79" w:rsidP="00EB7F79">
      <w:pPr>
        <w:widowControl w:val="0"/>
        <w:kinsoku w:val="0"/>
        <w:overflowPunct w:val="0"/>
        <w:autoSpaceDE w:val="0"/>
        <w:autoSpaceDN w:val="0"/>
        <w:adjustRightInd w:val="0"/>
        <w:spacing w:after="0" w:line="240" w:lineRule="auto"/>
        <w:rPr>
          <w:rFonts w:eastAsia="Times New Roman" w:cstheme="minorHAnsi"/>
          <w:sz w:val="24"/>
          <w:szCs w:val="24"/>
        </w:rPr>
      </w:pPr>
    </w:p>
    <w:p w14:paraId="05AC7587" w14:textId="6974B28F" w:rsidR="00EB7F79" w:rsidRDefault="00EB7F79" w:rsidP="00EB7F79">
      <w:pPr>
        <w:widowControl w:val="0"/>
        <w:kinsoku w:val="0"/>
        <w:overflowPunct w:val="0"/>
        <w:autoSpaceDE w:val="0"/>
        <w:autoSpaceDN w:val="0"/>
        <w:adjustRightInd w:val="0"/>
        <w:spacing w:after="0" w:line="240" w:lineRule="auto"/>
        <w:rPr>
          <w:rFonts w:eastAsia="Times New Roman" w:cstheme="minorHAnsi"/>
          <w:sz w:val="24"/>
          <w:szCs w:val="24"/>
        </w:rPr>
      </w:pPr>
    </w:p>
    <w:p w14:paraId="3CF30C50" w14:textId="77777777" w:rsidR="00EB7F79" w:rsidRPr="009961D2" w:rsidRDefault="00EB7F79" w:rsidP="00EB7F79">
      <w:pPr>
        <w:widowControl w:val="0"/>
        <w:kinsoku w:val="0"/>
        <w:overflowPunct w:val="0"/>
        <w:autoSpaceDE w:val="0"/>
        <w:autoSpaceDN w:val="0"/>
        <w:adjustRightInd w:val="0"/>
        <w:spacing w:after="0" w:line="240" w:lineRule="auto"/>
        <w:rPr>
          <w:rFonts w:eastAsia="Times New Roman" w:cstheme="minorHAnsi"/>
          <w:sz w:val="24"/>
          <w:szCs w:val="24"/>
        </w:rPr>
      </w:pPr>
    </w:p>
    <w:tbl>
      <w:tblPr>
        <w:tblStyle w:val="TableGrid1"/>
        <w:tblW w:w="0" w:type="auto"/>
        <w:tblLook w:val="04A0" w:firstRow="1" w:lastRow="0" w:firstColumn="1" w:lastColumn="0" w:noHBand="0" w:noVBand="1"/>
      </w:tblPr>
      <w:tblGrid>
        <w:gridCol w:w="14930"/>
      </w:tblGrid>
      <w:tr w:rsidR="00EB7F79" w:rsidRPr="009961D2" w14:paraId="15374B4B" w14:textId="77777777" w:rsidTr="00E909AF">
        <w:tc>
          <w:tcPr>
            <w:tcW w:w="14966" w:type="dxa"/>
            <w:tcBorders>
              <w:top w:val="single" w:sz="18" w:space="0" w:color="auto"/>
              <w:left w:val="single" w:sz="18" w:space="0" w:color="auto"/>
              <w:bottom w:val="single" w:sz="18" w:space="0" w:color="auto"/>
              <w:right w:val="single" w:sz="18" w:space="0" w:color="auto"/>
            </w:tcBorders>
          </w:tcPr>
          <w:p w14:paraId="40EFCB74" w14:textId="77777777" w:rsidR="00EB7F79" w:rsidRPr="009961D2" w:rsidRDefault="00EB7F79" w:rsidP="00E909AF">
            <w:pPr>
              <w:widowControl w:val="0"/>
              <w:kinsoku w:val="0"/>
              <w:overflowPunct w:val="0"/>
              <w:autoSpaceDE w:val="0"/>
              <w:autoSpaceDN w:val="0"/>
              <w:adjustRightInd w:val="0"/>
              <w:rPr>
                <w:rFonts w:eastAsia="Times New Roman" w:cstheme="minorHAnsi"/>
                <w:sz w:val="24"/>
                <w:szCs w:val="24"/>
              </w:rPr>
            </w:pPr>
            <w:bookmarkStart w:id="6" w:name="_Hlk522538087"/>
            <w:r w:rsidRPr="009961D2">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4A5D0099" w14:textId="77777777" w:rsidR="00EB7F79" w:rsidRPr="009961D2" w:rsidRDefault="00EB7F79" w:rsidP="00E909AF">
            <w:pPr>
              <w:widowControl w:val="0"/>
              <w:kinsoku w:val="0"/>
              <w:overflowPunct w:val="0"/>
              <w:autoSpaceDE w:val="0"/>
              <w:autoSpaceDN w:val="0"/>
              <w:adjustRightInd w:val="0"/>
              <w:rPr>
                <w:rFonts w:eastAsia="Times New Roman" w:cstheme="minorHAnsi"/>
                <w:sz w:val="24"/>
                <w:szCs w:val="24"/>
              </w:rPr>
            </w:pPr>
          </w:p>
          <w:p w14:paraId="6CECD727" w14:textId="77777777" w:rsidR="00EB7F79" w:rsidRPr="009961D2" w:rsidRDefault="00EB7F79" w:rsidP="00E909AF">
            <w:pPr>
              <w:widowControl w:val="0"/>
              <w:kinsoku w:val="0"/>
              <w:overflowPunct w:val="0"/>
              <w:autoSpaceDE w:val="0"/>
              <w:autoSpaceDN w:val="0"/>
              <w:adjustRightInd w:val="0"/>
              <w:rPr>
                <w:rFonts w:eastAsia="Times New Roman" w:cstheme="minorHAnsi"/>
                <w:sz w:val="24"/>
                <w:szCs w:val="24"/>
              </w:rPr>
            </w:pPr>
          </w:p>
          <w:p w14:paraId="5506F0BF" w14:textId="77777777" w:rsidR="00EB7F79" w:rsidRPr="009961D2" w:rsidRDefault="00EB7F79" w:rsidP="00E909AF">
            <w:pPr>
              <w:widowControl w:val="0"/>
              <w:kinsoku w:val="0"/>
              <w:overflowPunct w:val="0"/>
              <w:autoSpaceDE w:val="0"/>
              <w:autoSpaceDN w:val="0"/>
              <w:adjustRightInd w:val="0"/>
              <w:rPr>
                <w:rFonts w:eastAsia="Times New Roman" w:cstheme="minorHAnsi"/>
                <w:sz w:val="24"/>
                <w:szCs w:val="24"/>
              </w:rPr>
            </w:pPr>
            <w:r w:rsidRPr="009961D2">
              <w:rPr>
                <w:rFonts w:eastAsia="Times New Roman" w:cstheme="minorHAnsi"/>
                <w:sz w:val="24"/>
                <w:szCs w:val="24"/>
              </w:rPr>
              <w:t xml:space="preserve">Printed Name/Signature: _____________________________________________________________________________           Date_____________ </w:t>
            </w:r>
          </w:p>
          <w:p w14:paraId="064EB9B7" w14:textId="77777777" w:rsidR="00EB7F79" w:rsidRPr="009961D2" w:rsidRDefault="00EB7F79" w:rsidP="00E909AF">
            <w:pPr>
              <w:widowControl w:val="0"/>
              <w:kinsoku w:val="0"/>
              <w:overflowPunct w:val="0"/>
              <w:autoSpaceDE w:val="0"/>
              <w:autoSpaceDN w:val="0"/>
              <w:adjustRightInd w:val="0"/>
              <w:rPr>
                <w:rFonts w:eastAsia="Times New Roman" w:cstheme="minorHAnsi"/>
                <w:sz w:val="24"/>
                <w:szCs w:val="24"/>
              </w:rPr>
            </w:pPr>
          </w:p>
        </w:tc>
      </w:tr>
      <w:bookmarkEnd w:id="5"/>
      <w:bookmarkEnd w:id="6"/>
    </w:tbl>
    <w:p w14:paraId="5D311FD7" w14:textId="77777777" w:rsidR="004D4D0F" w:rsidRPr="004D4D0F" w:rsidRDefault="004D4D0F" w:rsidP="004D4D0F"/>
    <w:p w14:paraId="51188FB3" w14:textId="409F74A4" w:rsidR="00AD7DD2" w:rsidRPr="004D4D0F" w:rsidRDefault="004D4D0F" w:rsidP="004D4D0F">
      <w:pPr>
        <w:tabs>
          <w:tab w:val="left" w:pos="13932"/>
        </w:tabs>
      </w:pPr>
      <w:r>
        <w:tab/>
      </w:r>
    </w:p>
    <w:sectPr w:rsidR="00AD7DD2" w:rsidRPr="004D4D0F"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5AED085E" w:rsidR="006069F9" w:rsidRDefault="006069F9" w:rsidP="006069F9">
            <w:pPr>
              <w:pStyle w:val="Footer"/>
            </w:pPr>
            <w:r>
              <w:t>Rev. 0, Date:  08/</w:t>
            </w:r>
            <w:r w:rsidR="00EB7F79">
              <w:t>28</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Iy1c7sW2c43nUCKdYYSlEz0RrYBN9wpizUJgP9ogkpfpkBwHAKRUaZrkpH5zJfcvz7mGnfuNqqyUeWjzFd5Afg==" w:salt="O3km1ZH+s9uHCvvkPxsTsQ=="/>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12557C"/>
    <w:rsid w:val="001316C7"/>
    <w:rsid w:val="0016707C"/>
    <w:rsid w:val="00176969"/>
    <w:rsid w:val="001903D7"/>
    <w:rsid w:val="001A2189"/>
    <w:rsid w:val="001D2C71"/>
    <w:rsid w:val="001F674B"/>
    <w:rsid w:val="00200423"/>
    <w:rsid w:val="00257BEA"/>
    <w:rsid w:val="002946D9"/>
    <w:rsid w:val="002F6B64"/>
    <w:rsid w:val="0032131E"/>
    <w:rsid w:val="00355247"/>
    <w:rsid w:val="003E31A4"/>
    <w:rsid w:val="00447A00"/>
    <w:rsid w:val="00463291"/>
    <w:rsid w:val="004945D6"/>
    <w:rsid w:val="004C20B1"/>
    <w:rsid w:val="004D4D0F"/>
    <w:rsid w:val="005028D9"/>
    <w:rsid w:val="00565793"/>
    <w:rsid w:val="00585658"/>
    <w:rsid w:val="005B3D53"/>
    <w:rsid w:val="005E1DD9"/>
    <w:rsid w:val="005E656A"/>
    <w:rsid w:val="006069F9"/>
    <w:rsid w:val="0064048A"/>
    <w:rsid w:val="00641D5F"/>
    <w:rsid w:val="00665E84"/>
    <w:rsid w:val="006B6D8E"/>
    <w:rsid w:val="006C6230"/>
    <w:rsid w:val="006E5CC2"/>
    <w:rsid w:val="006F6CAF"/>
    <w:rsid w:val="00731974"/>
    <w:rsid w:val="00750CDC"/>
    <w:rsid w:val="007B16CC"/>
    <w:rsid w:val="0088692B"/>
    <w:rsid w:val="008A049D"/>
    <w:rsid w:val="008E4D08"/>
    <w:rsid w:val="0094324F"/>
    <w:rsid w:val="00952F65"/>
    <w:rsid w:val="009578F2"/>
    <w:rsid w:val="0096086A"/>
    <w:rsid w:val="009B443A"/>
    <w:rsid w:val="00A06D31"/>
    <w:rsid w:val="00A40041"/>
    <w:rsid w:val="00A612D8"/>
    <w:rsid w:val="00A613E6"/>
    <w:rsid w:val="00AD4E8B"/>
    <w:rsid w:val="00AD7DD2"/>
    <w:rsid w:val="00AE054F"/>
    <w:rsid w:val="00AE135A"/>
    <w:rsid w:val="00AF463A"/>
    <w:rsid w:val="00B108A2"/>
    <w:rsid w:val="00B12C88"/>
    <w:rsid w:val="00B72AC5"/>
    <w:rsid w:val="00C01D9A"/>
    <w:rsid w:val="00C038A6"/>
    <w:rsid w:val="00CA088A"/>
    <w:rsid w:val="00CA416D"/>
    <w:rsid w:val="00CA77EF"/>
    <w:rsid w:val="00CB0010"/>
    <w:rsid w:val="00CB4769"/>
    <w:rsid w:val="00D20B88"/>
    <w:rsid w:val="00D4646C"/>
    <w:rsid w:val="00D46B79"/>
    <w:rsid w:val="00D74316"/>
    <w:rsid w:val="00D76B65"/>
    <w:rsid w:val="00DC3431"/>
    <w:rsid w:val="00DF52B0"/>
    <w:rsid w:val="00E11A5E"/>
    <w:rsid w:val="00E13702"/>
    <w:rsid w:val="00E14615"/>
    <w:rsid w:val="00E20BC0"/>
    <w:rsid w:val="00E531F7"/>
    <w:rsid w:val="00EB7F79"/>
    <w:rsid w:val="00EF1E0B"/>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EB7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DDA98-652F-49C6-8EB0-257B65131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2018-08-28T11:45:00Z</dcterms:created>
  <dcterms:modified xsi:type="dcterms:W3CDTF">2018-08-28T11:45:00Z</dcterms:modified>
</cp:coreProperties>
</file>