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57B3BF65" w14:textId="77777777" w:rsidR="0007295A" w:rsidRPr="0007295A" w:rsidRDefault="0007295A" w:rsidP="0007295A">
            <w:pPr>
              <w:rPr>
                <w:rFonts w:cstheme="minorHAnsi"/>
                <w:sz w:val="20"/>
                <w:szCs w:val="20"/>
              </w:rPr>
            </w:pPr>
            <w:bookmarkStart w:id="1" w:name="_Hlk518035310"/>
            <w:r w:rsidRPr="0007295A">
              <w:rPr>
                <w:rFonts w:cstheme="minorHAnsi"/>
                <w:sz w:val="20"/>
                <w:szCs w:val="20"/>
              </w:rPr>
              <w:t>Transportation</w:t>
            </w:r>
          </w:p>
          <w:p w14:paraId="25C26D2B" w14:textId="77777777" w:rsidR="0007295A" w:rsidRPr="0007295A" w:rsidRDefault="0007295A" w:rsidP="0007295A">
            <w:pPr>
              <w:rPr>
                <w:rFonts w:cstheme="minorHAnsi"/>
                <w:sz w:val="20"/>
                <w:szCs w:val="20"/>
              </w:rPr>
            </w:pPr>
          </w:p>
          <w:p w14:paraId="2EE2DE8B" w14:textId="77777777" w:rsidR="0007295A" w:rsidRPr="0007295A" w:rsidRDefault="0007295A" w:rsidP="0007295A">
            <w:pPr>
              <w:rPr>
                <w:rFonts w:cstheme="minorHAnsi"/>
                <w:sz w:val="20"/>
                <w:szCs w:val="20"/>
              </w:rPr>
            </w:pPr>
            <w:r w:rsidRPr="0007295A">
              <w:rPr>
                <w:rFonts w:cstheme="minorHAnsi"/>
                <w:sz w:val="20"/>
                <w:szCs w:val="20"/>
              </w:rPr>
              <w:t>10 CFR Part 71</w:t>
            </w:r>
          </w:p>
          <w:p w14:paraId="50803EC1" w14:textId="77777777" w:rsidR="0007295A" w:rsidRPr="0007295A" w:rsidRDefault="0007295A" w:rsidP="0007295A">
            <w:pPr>
              <w:rPr>
                <w:rFonts w:cstheme="minorHAnsi"/>
                <w:sz w:val="20"/>
                <w:szCs w:val="20"/>
              </w:rPr>
            </w:pPr>
          </w:p>
          <w:p w14:paraId="62F45E28" w14:textId="77777777" w:rsidR="0007295A" w:rsidRPr="0007295A" w:rsidRDefault="0007295A" w:rsidP="0007295A">
            <w:pPr>
              <w:rPr>
                <w:rFonts w:cstheme="minorHAnsi"/>
                <w:sz w:val="20"/>
                <w:szCs w:val="20"/>
              </w:rPr>
            </w:pPr>
            <w:r w:rsidRPr="0007295A">
              <w:rPr>
                <w:rFonts w:cstheme="minorHAnsi"/>
                <w:sz w:val="20"/>
                <w:szCs w:val="20"/>
              </w:rPr>
              <w:t xml:space="preserve">DOE Order </w:t>
            </w:r>
          </w:p>
          <w:p w14:paraId="53CD21E3" w14:textId="77777777" w:rsidR="0007295A" w:rsidRPr="0007295A" w:rsidRDefault="0007295A" w:rsidP="0007295A">
            <w:pPr>
              <w:rPr>
                <w:rFonts w:cstheme="minorHAnsi"/>
                <w:sz w:val="20"/>
                <w:szCs w:val="20"/>
              </w:rPr>
            </w:pPr>
            <w:r w:rsidRPr="0007295A">
              <w:rPr>
                <w:rFonts w:cstheme="minorHAnsi"/>
                <w:sz w:val="20"/>
                <w:szCs w:val="20"/>
              </w:rPr>
              <w:t>414.1D</w:t>
            </w:r>
          </w:p>
          <w:p w14:paraId="7F99D6E1" w14:textId="77777777" w:rsidR="0007295A" w:rsidRPr="0007295A" w:rsidRDefault="0007295A" w:rsidP="0007295A">
            <w:pPr>
              <w:rPr>
                <w:rFonts w:cstheme="minorHAnsi"/>
                <w:sz w:val="20"/>
                <w:szCs w:val="20"/>
              </w:rPr>
            </w:pPr>
          </w:p>
          <w:p w14:paraId="74796F0B" w14:textId="4BD578A3" w:rsidR="008E4D08" w:rsidRPr="0064048A" w:rsidRDefault="0007295A" w:rsidP="0007295A">
            <w:pPr>
              <w:rPr>
                <w:rFonts w:cstheme="minorHAnsi"/>
                <w:sz w:val="20"/>
                <w:szCs w:val="20"/>
              </w:rPr>
            </w:pPr>
            <w:r w:rsidRPr="0007295A">
              <w:rPr>
                <w:rFonts w:cstheme="minorHAnsi"/>
                <w:sz w:val="20"/>
                <w:szCs w:val="20"/>
              </w:rPr>
              <w:t>TDEC 0400-12-01-.01</w:t>
            </w:r>
          </w:p>
        </w:tc>
        <w:tc>
          <w:tcPr>
            <w:tcW w:w="6390" w:type="dxa"/>
          </w:tcPr>
          <w:p w14:paraId="71A5DC0C" w14:textId="22339EA4" w:rsidR="008E4D08" w:rsidRPr="004C20B1" w:rsidRDefault="0007295A" w:rsidP="004C20B1">
            <w:pPr>
              <w:rPr>
                <w:rFonts w:cstheme="minorHAnsi"/>
                <w:sz w:val="20"/>
                <w:szCs w:val="20"/>
              </w:rPr>
            </w:pPr>
            <w:r w:rsidRPr="0007295A">
              <w:rPr>
                <w:rFonts w:cstheme="minorHAnsi"/>
                <w:sz w:val="20"/>
                <w:szCs w:val="20"/>
              </w:rPr>
              <w:t>It is the seller's responsibility to ascertain and comply with all applicable Federal, State, Local and multi-jurisdictional laws, ordinances, and regulations pertaining to the registration, licensing, handling, transportation, packaging, management, processing, resale and disposal of Solid and/or Hazardous Waste materials under this Agreement. These federal, state, and local laws include but are not limited the Resource Conservation and Recovery Act; the Hazardous Materials Transportation Regulations; the Federal Motor Carrier Safety Regulations; the Tennessee Motor Vehicle Laws Annotated; the Emergency Planning and Community Right-to-Know Act, and TDEC (Tennessee Department of Environment and Conservation) Rule Chapter 0400-12-01-.01. The Seller shall provide written proof of registration, licensing, insurance, or other requirements upon request.</w:t>
            </w:r>
          </w:p>
        </w:tc>
        <w:tc>
          <w:tcPr>
            <w:tcW w:w="6457" w:type="dxa"/>
          </w:tcPr>
          <w:p w14:paraId="2A0198AB" w14:textId="77777777" w:rsidR="0007295A" w:rsidRPr="0007295A" w:rsidRDefault="0007295A" w:rsidP="0007295A">
            <w:pPr>
              <w:rPr>
                <w:rFonts w:cstheme="minorHAnsi"/>
                <w:sz w:val="20"/>
                <w:szCs w:val="20"/>
              </w:rPr>
            </w:pPr>
            <w:r w:rsidRPr="0007295A">
              <w:rPr>
                <w:rFonts w:cstheme="minorHAnsi"/>
                <w:sz w:val="20"/>
                <w:szCs w:val="20"/>
              </w:rPr>
              <w:t>Workers shall ensure they are trained to transport materials by having complete Materials of Trade (MOT) training.</w:t>
            </w:r>
          </w:p>
          <w:p w14:paraId="1A4A92DE" w14:textId="77777777" w:rsidR="0007295A" w:rsidRPr="0007295A" w:rsidRDefault="0007295A" w:rsidP="0007295A">
            <w:pPr>
              <w:rPr>
                <w:rFonts w:cstheme="minorHAnsi"/>
                <w:sz w:val="20"/>
                <w:szCs w:val="20"/>
              </w:rPr>
            </w:pPr>
          </w:p>
          <w:p w14:paraId="39F111B6" w14:textId="77777777" w:rsidR="0007295A" w:rsidRPr="0007295A" w:rsidRDefault="0007295A" w:rsidP="0007295A">
            <w:pPr>
              <w:rPr>
                <w:rFonts w:cstheme="minorHAnsi"/>
                <w:sz w:val="20"/>
                <w:szCs w:val="20"/>
              </w:rPr>
            </w:pPr>
            <w:r w:rsidRPr="0007295A">
              <w:rPr>
                <w:rFonts w:cstheme="minorHAnsi"/>
                <w:sz w:val="20"/>
                <w:szCs w:val="20"/>
              </w:rPr>
              <w:t>Workers shall ensure they use the appropriate PPE that is specified in the AHA.</w:t>
            </w:r>
          </w:p>
          <w:p w14:paraId="70413C65" w14:textId="77777777" w:rsidR="0007295A" w:rsidRPr="0007295A" w:rsidRDefault="0007295A" w:rsidP="0007295A">
            <w:pPr>
              <w:rPr>
                <w:rFonts w:cstheme="minorHAnsi"/>
                <w:sz w:val="20"/>
                <w:szCs w:val="20"/>
              </w:rPr>
            </w:pPr>
          </w:p>
          <w:p w14:paraId="11B6E143" w14:textId="77777777" w:rsidR="0007295A" w:rsidRPr="0007295A" w:rsidRDefault="0007295A" w:rsidP="0007295A">
            <w:pPr>
              <w:rPr>
                <w:rFonts w:cstheme="minorHAnsi"/>
                <w:sz w:val="20"/>
                <w:szCs w:val="20"/>
              </w:rPr>
            </w:pPr>
            <w:r w:rsidRPr="0007295A">
              <w:rPr>
                <w:rFonts w:cstheme="minorHAnsi"/>
                <w:sz w:val="20"/>
                <w:szCs w:val="20"/>
              </w:rPr>
              <w:t>Workers shall determine if hazardous materials are to be transported meet the criteria for materials of trade.  Workers shall ensure Materials have been verified by Transportation Safety Compliance prior to transfer.</w:t>
            </w:r>
          </w:p>
          <w:p w14:paraId="2FEC707A" w14:textId="77777777" w:rsidR="0007295A" w:rsidRPr="0007295A" w:rsidRDefault="0007295A" w:rsidP="0007295A">
            <w:pPr>
              <w:rPr>
                <w:rFonts w:cstheme="minorHAnsi"/>
                <w:sz w:val="20"/>
                <w:szCs w:val="20"/>
              </w:rPr>
            </w:pPr>
          </w:p>
          <w:p w14:paraId="1CA3C772" w14:textId="77777777" w:rsidR="0007295A" w:rsidRPr="0007295A" w:rsidRDefault="0007295A" w:rsidP="0007295A">
            <w:pPr>
              <w:rPr>
                <w:rFonts w:cstheme="minorHAnsi"/>
                <w:sz w:val="20"/>
                <w:szCs w:val="20"/>
              </w:rPr>
            </w:pPr>
            <w:r w:rsidRPr="0007295A">
              <w:rPr>
                <w:rFonts w:cstheme="minorHAnsi"/>
                <w:sz w:val="20"/>
                <w:szCs w:val="20"/>
              </w:rPr>
              <w:t>Workers shall contact the Transportation Safety Compliance Manager for assistance with hazardous materials or radiological materials.</w:t>
            </w:r>
          </w:p>
          <w:p w14:paraId="5227330F" w14:textId="77777777" w:rsidR="0007295A" w:rsidRPr="0007295A" w:rsidRDefault="0007295A" w:rsidP="0007295A">
            <w:pPr>
              <w:rPr>
                <w:rFonts w:cstheme="minorHAnsi"/>
                <w:sz w:val="20"/>
                <w:szCs w:val="20"/>
              </w:rPr>
            </w:pPr>
          </w:p>
          <w:p w14:paraId="7533B543" w14:textId="6CBE229D" w:rsidR="008E4D08" w:rsidRPr="0064048A" w:rsidRDefault="008E4D08" w:rsidP="0007295A">
            <w:pPr>
              <w:rPr>
                <w:rFonts w:cstheme="minorHAnsi"/>
                <w:sz w:val="20"/>
                <w:szCs w:val="20"/>
              </w:rPr>
            </w:pP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DC5807">
              <w:rPr>
                <w:sz w:val="20"/>
                <w:szCs w:val="20"/>
              </w:rPr>
            </w:r>
            <w:r w:rsidR="00DC5807">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DC5807">
              <w:rPr>
                <w:sz w:val="20"/>
                <w:szCs w:val="20"/>
              </w:rPr>
            </w:r>
            <w:r w:rsidR="00DC5807">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DC5807">
              <w:rPr>
                <w:sz w:val="20"/>
                <w:szCs w:val="20"/>
              </w:rPr>
            </w:r>
            <w:r w:rsidR="00DC5807">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DC5807">
              <w:rPr>
                <w:sz w:val="20"/>
                <w:szCs w:val="20"/>
              </w:rPr>
            </w:r>
            <w:r w:rsidR="00DC5807">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DC5807">
              <w:rPr>
                <w:sz w:val="20"/>
                <w:szCs w:val="20"/>
              </w:rPr>
            </w:r>
            <w:r w:rsidR="00DC5807">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DC5807">
              <w:rPr>
                <w:sz w:val="20"/>
                <w:szCs w:val="20"/>
              </w:rPr>
            </w:r>
            <w:r w:rsidR="00DC5807">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DC5807">
              <w:rPr>
                <w:sz w:val="20"/>
                <w:szCs w:val="20"/>
              </w:rPr>
            </w:r>
            <w:r w:rsidR="00DC5807">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DC5807">
              <w:rPr>
                <w:sz w:val="20"/>
                <w:szCs w:val="20"/>
              </w:rPr>
            </w:r>
            <w:r w:rsidR="00DC5807">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DC5807">
              <w:rPr>
                <w:sz w:val="20"/>
                <w:szCs w:val="20"/>
              </w:rPr>
            </w:r>
            <w:r w:rsidR="00DC5807">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4676AD32" w14:textId="77777777" w:rsidR="00DC5807" w:rsidRDefault="00DC5807" w:rsidP="00075CB9">
      <w:pPr>
        <w:tabs>
          <w:tab w:val="left" w:pos="4320"/>
          <w:tab w:val="left" w:pos="6637"/>
        </w:tabs>
      </w:pPr>
    </w:p>
    <w:p w14:paraId="7307DFF0" w14:textId="1C5A1224"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5D311FD7" w14:textId="5542DED7" w:rsidR="004D4D0F" w:rsidRDefault="004D4D0F" w:rsidP="004D4D0F"/>
    <w:tbl>
      <w:tblPr>
        <w:tblStyle w:val="TableGrid1"/>
        <w:tblW w:w="0" w:type="auto"/>
        <w:tblLook w:val="04A0" w:firstRow="1" w:lastRow="0" w:firstColumn="1" w:lastColumn="0" w:noHBand="0" w:noVBand="1"/>
      </w:tblPr>
      <w:tblGrid>
        <w:gridCol w:w="14930"/>
      </w:tblGrid>
      <w:tr w:rsidR="00DC5807" w:rsidRPr="00CF52BC" w14:paraId="60438A16" w14:textId="77777777" w:rsidTr="00DC5807">
        <w:tc>
          <w:tcPr>
            <w:tcW w:w="14930" w:type="dxa"/>
            <w:tcBorders>
              <w:top w:val="single" w:sz="18" w:space="0" w:color="auto"/>
              <w:left w:val="single" w:sz="18" w:space="0" w:color="auto"/>
              <w:bottom w:val="single" w:sz="18" w:space="0" w:color="auto"/>
              <w:right w:val="single" w:sz="18" w:space="0" w:color="auto"/>
            </w:tcBorders>
          </w:tcPr>
          <w:p w14:paraId="229F8255" w14:textId="77777777" w:rsidR="00DC5807" w:rsidRDefault="00DC5807" w:rsidP="00656044">
            <w:pPr>
              <w:widowControl w:val="0"/>
              <w:kinsoku w:val="0"/>
              <w:overflowPunct w:val="0"/>
              <w:autoSpaceDE w:val="0"/>
              <w:autoSpaceDN w:val="0"/>
              <w:adjustRightInd w:val="0"/>
              <w:rPr>
                <w:rFonts w:eastAsia="Times New Roman" w:cstheme="minorHAnsi"/>
                <w:sz w:val="24"/>
                <w:szCs w:val="24"/>
              </w:rPr>
            </w:pPr>
            <w:bookmarkStart w:id="5" w:name="_Hlk522538131"/>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5C57A928" w14:textId="77777777" w:rsidR="00DC5807" w:rsidRPr="00CF52BC" w:rsidRDefault="00DC5807" w:rsidP="00656044">
            <w:pPr>
              <w:widowControl w:val="0"/>
              <w:kinsoku w:val="0"/>
              <w:overflowPunct w:val="0"/>
              <w:autoSpaceDE w:val="0"/>
              <w:autoSpaceDN w:val="0"/>
              <w:adjustRightInd w:val="0"/>
              <w:rPr>
                <w:rFonts w:eastAsia="Times New Roman" w:cstheme="minorHAnsi"/>
                <w:sz w:val="24"/>
                <w:szCs w:val="24"/>
              </w:rPr>
            </w:pPr>
          </w:p>
          <w:p w14:paraId="2A0138CD" w14:textId="77777777" w:rsidR="00DC5807" w:rsidRPr="00CF52BC" w:rsidRDefault="00DC5807" w:rsidP="00656044">
            <w:pPr>
              <w:widowControl w:val="0"/>
              <w:kinsoku w:val="0"/>
              <w:overflowPunct w:val="0"/>
              <w:autoSpaceDE w:val="0"/>
              <w:autoSpaceDN w:val="0"/>
              <w:adjustRightInd w:val="0"/>
              <w:rPr>
                <w:rFonts w:eastAsia="Times New Roman" w:cstheme="minorHAnsi"/>
                <w:sz w:val="24"/>
                <w:szCs w:val="24"/>
              </w:rPr>
            </w:pPr>
          </w:p>
          <w:p w14:paraId="0BECDF13" w14:textId="77777777" w:rsidR="00DC5807" w:rsidRPr="00CF52BC" w:rsidRDefault="00DC5807"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1936A423" w14:textId="77777777" w:rsidR="00DC5807" w:rsidRPr="00CF52BC" w:rsidRDefault="00DC5807"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016BB70D" w14:textId="77777777" w:rsidR="00DC5807" w:rsidRPr="004D4D0F" w:rsidRDefault="00DC5807"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651BA0B6" w:rsidR="006069F9" w:rsidRDefault="006069F9" w:rsidP="006069F9">
            <w:pPr>
              <w:pStyle w:val="Footer"/>
            </w:pPr>
            <w:r>
              <w:t>Rev. 0, Date:  08/</w:t>
            </w:r>
            <w:r w:rsidR="00DC5807">
              <w:t>20</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cryptProviderType="rsaAES" w:cryptAlgorithmClass="hash" w:cryptAlgorithmType="typeAny" w:cryptAlgorithmSid="14" w:cryptSpinCount="100000" w:hash="IwVdN6PMGyKex25b/Mj5qn09SZNvvnKuRrfUH5YAzVzgnFdDXUmMQACMZw/JC/wl6U+1Q87y+I4nq34HU0GMIw==" w:salt="JSqxQbCQ2I1Tb7iDIuKvh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29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C5807"/>
    <w:rsid w:val="00DF52B0"/>
    <w:rsid w:val="00E11A5E"/>
    <w:rsid w:val="00E13702"/>
    <w:rsid w:val="00E14615"/>
    <w:rsid w:val="00E20BC0"/>
    <w:rsid w:val="00E531F7"/>
    <w:rsid w:val="00EF1E0B"/>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DC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EAF0E-0C7B-4036-AE11-DE1C5F87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2018-08-20T19:59:00Z</dcterms:created>
  <dcterms:modified xsi:type="dcterms:W3CDTF">2018-08-20T19:59:00Z</dcterms:modified>
</cp:coreProperties>
</file>